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326" w:rsidRPr="00FA7B24" w:rsidRDefault="002C3326" w:rsidP="002C3326">
      <w:pPr>
        <w:jc w:val="center"/>
        <w:rPr>
          <w:rFonts w:ascii="Arial" w:hAnsi="Arial" w:cs="Arial"/>
          <w:b/>
          <w:bCs/>
        </w:rPr>
      </w:pPr>
      <w:r w:rsidRPr="00FA7B24">
        <w:rPr>
          <w:rFonts w:ascii="Arial" w:hAnsi="Arial" w:cs="Arial"/>
          <w:b/>
          <w:bCs/>
        </w:rPr>
        <w:t>Сообщение о существенном факте</w:t>
      </w:r>
    </w:p>
    <w:p w:rsidR="002C3326" w:rsidRPr="00FA7B24" w:rsidRDefault="002C3326" w:rsidP="002C3326">
      <w:pPr>
        <w:jc w:val="center"/>
        <w:rPr>
          <w:rFonts w:ascii="Arial" w:hAnsi="Arial" w:cs="Arial"/>
          <w:b/>
          <w:bCs/>
        </w:rPr>
      </w:pPr>
      <w:r w:rsidRPr="00FA7B24">
        <w:rPr>
          <w:rFonts w:ascii="Arial" w:hAnsi="Arial" w:cs="Arial"/>
          <w:b/>
          <w:bCs/>
        </w:rPr>
        <w:t>“Сведения об этапах процедуры эмиссии эмиссионных ценных бумаг</w:t>
      </w:r>
      <w:r w:rsidR="000C7140" w:rsidRPr="00FA7B24">
        <w:rPr>
          <w:rFonts w:ascii="Arial" w:hAnsi="Arial" w:cs="Arial"/>
          <w:b/>
          <w:bCs/>
        </w:rPr>
        <w:t xml:space="preserve"> эмитента</w:t>
      </w:r>
      <w:r w:rsidRPr="00FA7B24">
        <w:rPr>
          <w:rFonts w:ascii="Arial" w:hAnsi="Arial" w:cs="Arial"/>
          <w:b/>
          <w:bCs/>
        </w:rPr>
        <w:t xml:space="preserve"> ”</w:t>
      </w:r>
    </w:p>
    <w:p w:rsidR="002C3326" w:rsidRPr="00FA7B24" w:rsidRDefault="002C3326" w:rsidP="002C3326">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EF63AB" w:rsidRPr="00FA7B24">
        <w:tc>
          <w:tcPr>
            <w:tcW w:w="10234" w:type="dxa"/>
            <w:gridSpan w:val="2"/>
          </w:tcPr>
          <w:p w:rsidR="00EF63AB" w:rsidRPr="00FA7B24" w:rsidRDefault="00EF63AB" w:rsidP="00CD56E8">
            <w:pPr>
              <w:jc w:val="center"/>
              <w:rPr>
                <w:rFonts w:ascii="Arial" w:hAnsi="Arial" w:cs="Arial"/>
              </w:rPr>
            </w:pPr>
            <w:r w:rsidRPr="00FA7B24">
              <w:rPr>
                <w:rFonts w:ascii="Arial" w:hAnsi="Arial" w:cs="Arial"/>
              </w:rPr>
              <w:t>1. Общие сведения</w:t>
            </w:r>
          </w:p>
        </w:tc>
      </w:tr>
      <w:tr w:rsidR="00FA7B24" w:rsidRPr="00FA7B24" w:rsidTr="00BA3D22">
        <w:tc>
          <w:tcPr>
            <w:tcW w:w="5117" w:type="dxa"/>
          </w:tcPr>
          <w:p w:rsidR="00FA7B24" w:rsidRPr="00FA7B24" w:rsidRDefault="00FA7B24" w:rsidP="00CD56E8">
            <w:pPr>
              <w:ind w:right="85"/>
              <w:jc w:val="both"/>
              <w:rPr>
                <w:rFonts w:ascii="Arial" w:hAnsi="Arial" w:cs="Arial"/>
              </w:rPr>
            </w:pPr>
            <w:r w:rsidRPr="00FA7B24">
              <w:rPr>
                <w:rFonts w:ascii="Arial" w:hAnsi="Arial" w:cs="Arial"/>
              </w:rPr>
              <w:t xml:space="preserve">1.1. Полное фирменное наименование эмитента </w:t>
            </w:r>
          </w:p>
        </w:tc>
        <w:tc>
          <w:tcPr>
            <w:tcW w:w="5117" w:type="dxa"/>
          </w:tcPr>
          <w:p w:rsidR="00FA7B24" w:rsidRPr="00FA7B24" w:rsidRDefault="00FA7B24" w:rsidP="00BA3D22">
            <w:pPr>
              <w:rPr>
                <w:rFonts w:ascii="Arial" w:hAnsi="Arial" w:cs="Arial"/>
              </w:rPr>
            </w:pPr>
            <w:r w:rsidRPr="00FA7B24">
              <w:rPr>
                <w:rFonts w:ascii="Arial" w:hAnsi="Arial" w:cs="Arial"/>
              </w:rPr>
              <w:t xml:space="preserve">Открытое акционерное общество </w:t>
            </w:r>
            <w:r w:rsidR="008D737D" w:rsidRPr="00FA7B24">
              <w:rPr>
                <w:rFonts w:ascii="Arial" w:hAnsi="Arial" w:cs="Arial"/>
              </w:rPr>
              <w:t>«Якутская топливно-энергетическая компания»</w:t>
            </w:r>
          </w:p>
        </w:tc>
      </w:tr>
      <w:tr w:rsidR="00FA7B24" w:rsidRPr="00FA7B24" w:rsidTr="00BA3D22">
        <w:tc>
          <w:tcPr>
            <w:tcW w:w="5117" w:type="dxa"/>
          </w:tcPr>
          <w:p w:rsidR="00FA7B24" w:rsidRPr="00FA7B24" w:rsidRDefault="00FA7B24" w:rsidP="00CD56E8">
            <w:pPr>
              <w:ind w:right="85"/>
              <w:jc w:val="both"/>
              <w:rPr>
                <w:rFonts w:ascii="Arial" w:hAnsi="Arial" w:cs="Arial"/>
              </w:rPr>
            </w:pPr>
            <w:r w:rsidRPr="00FA7B24">
              <w:rPr>
                <w:rFonts w:ascii="Arial" w:hAnsi="Arial" w:cs="Arial"/>
              </w:rPr>
              <w:t>1.2. Сокращенное фирменное наименование эмитента</w:t>
            </w:r>
          </w:p>
        </w:tc>
        <w:tc>
          <w:tcPr>
            <w:tcW w:w="5117" w:type="dxa"/>
          </w:tcPr>
          <w:p w:rsidR="00FA7B24" w:rsidRPr="00FA7B24" w:rsidRDefault="008D737D" w:rsidP="00BA3D22">
            <w:pPr>
              <w:rPr>
                <w:rFonts w:ascii="Arial" w:hAnsi="Arial" w:cs="Arial"/>
              </w:rPr>
            </w:pPr>
            <w:r w:rsidRPr="00FA7B24">
              <w:rPr>
                <w:rFonts w:ascii="Arial" w:hAnsi="Arial" w:cs="Arial"/>
              </w:rPr>
              <w:t>ОАО «ЯТЭК»</w:t>
            </w:r>
          </w:p>
        </w:tc>
      </w:tr>
      <w:tr w:rsidR="00FA7B24" w:rsidRPr="00FA7B24" w:rsidTr="00BA3D22">
        <w:tc>
          <w:tcPr>
            <w:tcW w:w="5117" w:type="dxa"/>
          </w:tcPr>
          <w:p w:rsidR="00FA7B24" w:rsidRPr="00FA7B24" w:rsidRDefault="00FA7B24" w:rsidP="00CD56E8">
            <w:pPr>
              <w:ind w:right="85"/>
              <w:jc w:val="both"/>
              <w:rPr>
                <w:rFonts w:ascii="Arial" w:hAnsi="Arial" w:cs="Arial"/>
              </w:rPr>
            </w:pPr>
            <w:r w:rsidRPr="00FA7B24">
              <w:rPr>
                <w:rFonts w:ascii="Arial" w:hAnsi="Arial" w:cs="Arial"/>
              </w:rPr>
              <w:t>1.3. Место нахождения эмитента</w:t>
            </w:r>
          </w:p>
        </w:tc>
        <w:tc>
          <w:tcPr>
            <w:tcW w:w="5117" w:type="dxa"/>
          </w:tcPr>
          <w:p w:rsidR="00FA7B24" w:rsidRPr="00FA7B24" w:rsidRDefault="008D737D" w:rsidP="00BA3D22">
            <w:pPr>
              <w:rPr>
                <w:rFonts w:ascii="Arial" w:hAnsi="Arial" w:cs="Arial"/>
              </w:rPr>
            </w:pPr>
            <w:r w:rsidRPr="00FA7B24">
              <w:rPr>
                <w:rFonts w:ascii="Arial" w:hAnsi="Arial" w:cs="Arial"/>
              </w:rPr>
              <w:t xml:space="preserve">678214, Республика Саха (Якутия), Вилюйский улус, п. </w:t>
            </w:r>
            <w:proofErr w:type="spellStart"/>
            <w:r w:rsidRPr="00FA7B24">
              <w:rPr>
                <w:rFonts w:ascii="Arial" w:hAnsi="Arial" w:cs="Arial"/>
              </w:rPr>
              <w:t>Кысыл-Сыр</w:t>
            </w:r>
            <w:proofErr w:type="spellEnd"/>
            <w:r w:rsidRPr="00FA7B24">
              <w:rPr>
                <w:rFonts w:ascii="Arial" w:hAnsi="Arial" w:cs="Arial"/>
              </w:rPr>
              <w:t>, ул. Ленина, 4</w:t>
            </w:r>
          </w:p>
        </w:tc>
      </w:tr>
      <w:tr w:rsidR="008D737D" w:rsidRPr="00FA7B24" w:rsidTr="00BA3D22">
        <w:tc>
          <w:tcPr>
            <w:tcW w:w="5117" w:type="dxa"/>
          </w:tcPr>
          <w:p w:rsidR="008D737D" w:rsidRPr="00FA7B24" w:rsidRDefault="008D737D" w:rsidP="00CD56E8">
            <w:pPr>
              <w:ind w:right="85"/>
              <w:jc w:val="both"/>
              <w:rPr>
                <w:rFonts w:ascii="Arial" w:hAnsi="Arial" w:cs="Arial"/>
              </w:rPr>
            </w:pPr>
            <w:r w:rsidRPr="00FA7B24">
              <w:rPr>
                <w:rFonts w:ascii="Arial" w:hAnsi="Arial" w:cs="Arial"/>
              </w:rPr>
              <w:t>1.4. ОГРН эмитента</w:t>
            </w:r>
          </w:p>
        </w:tc>
        <w:tc>
          <w:tcPr>
            <w:tcW w:w="5117" w:type="dxa"/>
          </w:tcPr>
          <w:p w:rsidR="008D737D" w:rsidRPr="00FA7B24" w:rsidRDefault="008D737D" w:rsidP="00BA3D22">
            <w:pPr>
              <w:rPr>
                <w:rFonts w:ascii="Arial" w:hAnsi="Arial" w:cs="Arial"/>
              </w:rPr>
            </w:pPr>
            <w:r w:rsidRPr="00FA7B24">
              <w:rPr>
                <w:rFonts w:ascii="Arial" w:hAnsi="Arial" w:cs="Arial"/>
              </w:rPr>
              <w:t>1021401062187</w:t>
            </w:r>
          </w:p>
        </w:tc>
      </w:tr>
      <w:tr w:rsidR="008D737D" w:rsidRPr="00FA7B24" w:rsidTr="00BA3D22">
        <w:tc>
          <w:tcPr>
            <w:tcW w:w="5117" w:type="dxa"/>
          </w:tcPr>
          <w:p w:rsidR="008D737D" w:rsidRPr="00FA7B24" w:rsidRDefault="008D737D" w:rsidP="00CD56E8">
            <w:pPr>
              <w:ind w:right="85"/>
              <w:jc w:val="both"/>
              <w:rPr>
                <w:rFonts w:ascii="Arial" w:hAnsi="Arial" w:cs="Arial"/>
              </w:rPr>
            </w:pPr>
            <w:r w:rsidRPr="00FA7B24">
              <w:rPr>
                <w:rFonts w:ascii="Arial" w:hAnsi="Arial" w:cs="Arial"/>
              </w:rPr>
              <w:t>1.5. ИНН эмитента</w:t>
            </w:r>
          </w:p>
        </w:tc>
        <w:tc>
          <w:tcPr>
            <w:tcW w:w="5117" w:type="dxa"/>
          </w:tcPr>
          <w:p w:rsidR="008D737D" w:rsidRPr="00FA7B24" w:rsidRDefault="008D737D" w:rsidP="00BA3D22">
            <w:pPr>
              <w:rPr>
                <w:rFonts w:ascii="Arial" w:hAnsi="Arial" w:cs="Arial"/>
              </w:rPr>
            </w:pPr>
            <w:r w:rsidRPr="00FA7B24">
              <w:rPr>
                <w:rFonts w:ascii="Arial" w:hAnsi="Arial" w:cs="Arial"/>
              </w:rPr>
              <w:t>1435032049</w:t>
            </w:r>
          </w:p>
        </w:tc>
      </w:tr>
      <w:tr w:rsidR="008D737D" w:rsidRPr="00FA7B24" w:rsidTr="00BA3D22">
        <w:tc>
          <w:tcPr>
            <w:tcW w:w="5117" w:type="dxa"/>
          </w:tcPr>
          <w:p w:rsidR="008D737D" w:rsidRPr="00FA7B24" w:rsidRDefault="008D737D" w:rsidP="00CD56E8">
            <w:pPr>
              <w:ind w:right="85"/>
              <w:jc w:val="both"/>
              <w:rPr>
                <w:rFonts w:ascii="Arial" w:hAnsi="Arial" w:cs="Arial"/>
              </w:rPr>
            </w:pPr>
            <w:r w:rsidRPr="00FA7B24">
              <w:rPr>
                <w:rFonts w:ascii="Arial" w:hAnsi="Arial" w:cs="Arial"/>
              </w:rPr>
              <w:t>1.6. Уникальный код эмитента, присвоенный регистрирующим органом</w:t>
            </w:r>
          </w:p>
        </w:tc>
        <w:tc>
          <w:tcPr>
            <w:tcW w:w="5117" w:type="dxa"/>
          </w:tcPr>
          <w:p w:rsidR="008D737D" w:rsidRPr="00FA7B24" w:rsidRDefault="008D737D" w:rsidP="00BA3D22">
            <w:pPr>
              <w:rPr>
                <w:rFonts w:ascii="Arial" w:hAnsi="Arial" w:cs="Arial"/>
              </w:rPr>
            </w:pPr>
            <w:r w:rsidRPr="00FA7B24">
              <w:rPr>
                <w:rFonts w:ascii="Arial" w:hAnsi="Arial" w:cs="Arial"/>
              </w:rPr>
              <w:t>20510-F</w:t>
            </w:r>
          </w:p>
        </w:tc>
      </w:tr>
      <w:tr w:rsidR="008D737D" w:rsidRPr="00FA7B24" w:rsidTr="00BA3D22">
        <w:tc>
          <w:tcPr>
            <w:tcW w:w="5117" w:type="dxa"/>
          </w:tcPr>
          <w:p w:rsidR="008D737D" w:rsidRPr="00FA7B24" w:rsidRDefault="008D737D" w:rsidP="00CD56E8">
            <w:pPr>
              <w:ind w:right="85"/>
              <w:jc w:val="both"/>
              <w:rPr>
                <w:rFonts w:ascii="Arial" w:hAnsi="Arial" w:cs="Arial"/>
              </w:rPr>
            </w:pPr>
            <w:r w:rsidRPr="00FA7B24">
              <w:rPr>
                <w:rFonts w:ascii="Arial" w:hAnsi="Arial" w:cs="Arial"/>
              </w:rPr>
              <w:t>1.7. Адрес страницы в сети Интернет, используемой эмитентом для раскрытия информации</w:t>
            </w:r>
          </w:p>
        </w:tc>
        <w:tc>
          <w:tcPr>
            <w:tcW w:w="5117" w:type="dxa"/>
          </w:tcPr>
          <w:p w:rsidR="008D737D" w:rsidRDefault="0037402E" w:rsidP="00BA3D22">
            <w:pPr>
              <w:rPr>
                <w:rFonts w:ascii="Arial" w:hAnsi="Arial" w:cs="Arial"/>
              </w:rPr>
            </w:pPr>
            <w:hyperlink r:id="rId7" w:history="1">
              <w:r w:rsidR="008D737D" w:rsidRPr="00FE4CC3">
                <w:rPr>
                  <w:rStyle w:val="ab"/>
                  <w:rFonts w:ascii="Arial" w:hAnsi="Arial" w:cs="Arial"/>
                </w:rPr>
                <w:t>http://www.yatec.ru</w:t>
              </w:r>
            </w:hyperlink>
          </w:p>
          <w:p w:rsidR="008D737D" w:rsidRPr="00FA7B24" w:rsidRDefault="008D737D" w:rsidP="00BA3D22">
            <w:pPr>
              <w:rPr>
                <w:rFonts w:ascii="Arial" w:hAnsi="Arial" w:cs="Arial"/>
              </w:rPr>
            </w:pPr>
          </w:p>
        </w:tc>
      </w:tr>
    </w:tbl>
    <w:p w:rsidR="00EF63AB" w:rsidRPr="00FA7B24" w:rsidRDefault="00EF63AB" w:rsidP="00CD56E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234"/>
      </w:tblGrid>
      <w:tr w:rsidR="00EF63AB" w:rsidRPr="00FA7B24">
        <w:tc>
          <w:tcPr>
            <w:tcW w:w="10234" w:type="dxa"/>
          </w:tcPr>
          <w:p w:rsidR="00EF63AB" w:rsidRPr="00FA7B24" w:rsidRDefault="00EF63AB" w:rsidP="00CD56E8">
            <w:pPr>
              <w:jc w:val="center"/>
              <w:rPr>
                <w:rFonts w:ascii="Arial" w:hAnsi="Arial" w:cs="Arial"/>
              </w:rPr>
            </w:pPr>
            <w:r w:rsidRPr="00FA7B24">
              <w:rPr>
                <w:rFonts w:ascii="Arial" w:hAnsi="Arial" w:cs="Arial"/>
              </w:rPr>
              <w:t>2. Содержание сообщения</w:t>
            </w:r>
          </w:p>
          <w:p w:rsidR="002C3326" w:rsidRPr="00FA7B24" w:rsidRDefault="002C3326" w:rsidP="008B5D42">
            <w:pPr>
              <w:jc w:val="center"/>
              <w:rPr>
                <w:rFonts w:ascii="Arial" w:hAnsi="Arial" w:cs="Arial"/>
              </w:rPr>
            </w:pPr>
            <w:r w:rsidRPr="00FA7B24">
              <w:rPr>
                <w:rStyle w:val="SUBST"/>
                <w:rFonts w:ascii="Arial" w:hAnsi="Arial" w:cs="Arial"/>
                <w:b w:val="0"/>
                <w:i w:val="0"/>
                <w:sz w:val="20"/>
              </w:rPr>
              <w:t>“Сведения о государственной регистрации выпуска (дополнительного выпуска) ценных бумаг”</w:t>
            </w:r>
          </w:p>
        </w:tc>
      </w:tr>
      <w:tr w:rsidR="00EF63AB" w:rsidRPr="00FA7B24">
        <w:tc>
          <w:tcPr>
            <w:tcW w:w="10234" w:type="dxa"/>
          </w:tcPr>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1. Вид, категория (тип), серия и иные идентификационные признаки ценных бумаг.</w:t>
            </w:r>
          </w:p>
          <w:p w:rsidR="00FA7B24" w:rsidRPr="00FA7B24" w:rsidRDefault="00FA7B24" w:rsidP="002C3326">
            <w:pPr>
              <w:jc w:val="both"/>
              <w:rPr>
                <w:rStyle w:val="SUBST"/>
                <w:rFonts w:ascii="Arial" w:hAnsi="Arial" w:cs="Arial"/>
                <w:i w:val="0"/>
                <w:sz w:val="20"/>
              </w:rPr>
            </w:pPr>
            <w:r w:rsidRPr="00FA7B24">
              <w:rPr>
                <w:rStyle w:val="SUBST"/>
                <w:rFonts w:ascii="Arial" w:hAnsi="Arial" w:cs="Arial"/>
                <w:i w:val="0"/>
                <w:sz w:val="20"/>
              </w:rPr>
              <w:t xml:space="preserve">облигации неконвертируемые процентные документарные на предъявителя серии 01 Открытого акционерного общества «Якутская топливно-энергетическая компания» с обязательным централизованным хранением </w:t>
            </w:r>
            <w:r w:rsidRPr="00FA7B24">
              <w:rPr>
                <w:rFonts w:ascii="Arial" w:hAnsi="Arial" w:cs="Arial"/>
                <w:b/>
              </w:rPr>
              <w:t>(далее - Облигации)</w:t>
            </w:r>
          </w:p>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2. Срок погашения (для облигаций и опционов эмитента).</w:t>
            </w:r>
          </w:p>
          <w:p w:rsidR="00FA7B24" w:rsidRPr="00FA7B24" w:rsidRDefault="00FA7B24" w:rsidP="002C3326">
            <w:pPr>
              <w:jc w:val="both"/>
              <w:rPr>
                <w:rStyle w:val="SUBST"/>
                <w:rFonts w:ascii="Arial" w:hAnsi="Arial" w:cs="Arial"/>
                <w:i w:val="0"/>
                <w:sz w:val="20"/>
              </w:rPr>
            </w:pPr>
            <w:r w:rsidRPr="00FA7B24">
              <w:rPr>
                <w:rStyle w:val="SUBST"/>
                <w:rFonts w:ascii="Arial" w:hAnsi="Arial" w:cs="Arial"/>
                <w:i w:val="0"/>
                <w:sz w:val="20"/>
              </w:rPr>
              <w:t>Дата начала погашения: 1092-й (Одна тысяча девяносто второй) день с даты начала размещения Облигаций. Даты начала и окончания погашения Облигаций совпадают.</w:t>
            </w:r>
          </w:p>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3. Государственный регистрационный номер выпуска (дополнительного выпуска) ценных бумаг и дата государственной регистрации.</w:t>
            </w:r>
          </w:p>
          <w:p w:rsidR="002C3326" w:rsidRPr="00FA7B24" w:rsidRDefault="00FA7B24" w:rsidP="002C3326">
            <w:pPr>
              <w:jc w:val="both"/>
              <w:rPr>
                <w:rStyle w:val="SUBST"/>
                <w:rFonts w:ascii="Arial" w:hAnsi="Arial" w:cs="Arial"/>
                <w:i w:val="0"/>
                <w:sz w:val="20"/>
              </w:rPr>
            </w:pPr>
            <w:r w:rsidRPr="00FA7B24">
              <w:rPr>
                <w:rStyle w:val="SUBST"/>
                <w:rFonts w:ascii="Arial" w:hAnsi="Arial" w:cs="Arial"/>
                <w:i w:val="0"/>
                <w:sz w:val="20"/>
              </w:rPr>
              <w:t>4-01-20510-F,</w:t>
            </w:r>
            <w:r w:rsidR="000C7140" w:rsidRPr="00FA7B24">
              <w:rPr>
                <w:rStyle w:val="SUBST"/>
                <w:rFonts w:ascii="Arial" w:hAnsi="Arial" w:cs="Arial"/>
                <w:i w:val="0"/>
                <w:sz w:val="20"/>
              </w:rPr>
              <w:t xml:space="preserve"> </w:t>
            </w:r>
            <w:r w:rsidRPr="00FA7B24">
              <w:rPr>
                <w:rStyle w:val="SUBST"/>
                <w:rFonts w:ascii="Arial" w:hAnsi="Arial" w:cs="Arial"/>
                <w:i w:val="0"/>
                <w:sz w:val="20"/>
              </w:rPr>
              <w:t>11</w:t>
            </w:r>
            <w:r w:rsidR="002C3326" w:rsidRPr="00FA7B24">
              <w:rPr>
                <w:rStyle w:val="SUBST"/>
                <w:rFonts w:ascii="Arial" w:hAnsi="Arial" w:cs="Arial"/>
                <w:i w:val="0"/>
                <w:sz w:val="20"/>
              </w:rPr>
              <w:t xml:space="preserve"> </w:t>
            </w:r>
            <w:r w:rsidRPr="00FA7B24">
              <w:rPr>
                <w:rStyle w:val="SUBST"/>
                <w:rFonts w:ascii="Arial" w:hAnsi="Arial" w:cs="Arial"/>
                <w:i w:val="0"/>
                <w:sz w:val="20"/>
              </w:rPr>
              <w:t>октября</w:t>
            </w:r>
            <w:r w:rsidR="002C3326" w:rsidRPr="00FA7B24">
              <w:rPr>
                <w:rStyle w:val="SUBST"/>
                <w:rFonts w:ascii="Arial" w:hAnsi="Arial" w:cs="Arial"/>
                <w:i w:val="0"/>
                <w:sz w:val="20"/>
              </w:rPr>
              <w:t xml:space="preserve"> 201</w:t>
            </w:r>
            <w:r w:rsidR="000C7140" w:rsidRPr="00FA7B24">
              <w:rPr>
                <w:rStyle w:val="SUBST"/>
                <w:rFonts w:ascii="Arial" w:hAnsi="Arial" w:cs="Arial"/>
                <w:i w:val="0"/>
                <w:sz w:val="20"/>
              </w:rPr>
              <w:t>2</w:t>
            </w:r>
            <w:r w:rsidR="002C3326" w:rsidRPr="00FA7B24">
              <w:rPr>
                <w:rStyle w:val="SUBST"/>
                <w:rFonts w:ascii="Arial" w:hAnsi="Arial" w:cs="Arial"/>
                <w:i w:val="0"/>
                <w:sz w:val="20"/>
              </w:rPr>
              <w:t xml:space="preserve"> года</w:t>
            </w:r>
          </w:p>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4. Наименование регистрирующего органа, осуществившего государственную регистрацию выпуска (дополнительного выпуска) ценных бумаг.</w:t>
            </w:r>
          </w:p>
          <w:p w:rsidR="002C3326" w:rsidRPr="00FA7B24" w:rsidRDefault="002C3326" w:rsidP="002C3326">
            <w:pPr>
              <w:jc w:val="both"/>
              <w:rPr>
                <w:rStyle w:val="SUBST"/>
                <w:rFonts w:ascii="Arial" w:hAnsi="Arial" w:cs="Arial"/>
                <w:b w:val="0"/>
                <w:i w:val="0"/>
                <w:sz w:val="20"/>
              </w:rPr>
            </w:pPr>
            <w:r w:rsidRPr="00FA7B24">
              <w:rPr>
                <w:rFonts w:ascii="Arial" w:hAnsi="Arial" w:cs="Arial"/>
                <w:b/>
              </w:rPr>
              <w:t>Федеральная служба по финансовым рынкам (ФСФР России)</w:t>
            </w:r>
          </w:p>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5. Количество размещаемых ценных бумаг и номинальная стоимость (если наличие номинальной стоимости предусмотрено законодательством Российской Федерации) каждой ценной бумаги.</w:t>
            </w:r>
          </w:p>
          <w:p w:rsidR="00FA7B24" w:rsidRPr="00FA7B24" w:rsidRDefault="00FA7B24" w:rsidP="002C3326">
            <w:pPr>
              <w:jc w:val="both"/>
              <w:rPr>
                <w:rFonts w:ascii="Arial" w:hAnsi="Arial" w:cs="Arial"/>
                <w:b/>
              </w:rPr>
            </w:pPr>
            <w:r w:rsidRPr="00FA7B24">
              <w:rPr>
                <w:rFonts w:ascii="Arial" w:hAnsi="Arial" w:cs="Arial"/>
                <w:b/>
              </w:rPr>
              <w:t xml:space="preserve">400 000 (Четыреста тысяч) штук номинальной стоимостью 1 000 (Одна тысяча) рублей каждая общей номинальной стоимостью 400 000 </w:t>
            </w:r>
            <w:proofErr w:type="spellStart"/>
            <w:r w:rsidRPr="00FA7B24">
              <w:rPr>
                <w:rFonts w:ascii="Arial" w:hAnsi="Arial" w:cs="Arial"/>
                <w:b/>
              </w:rPr>
              <w:t>000</w:t>
            </w:r>
            <w:proofErr w:type="spellEnd"/>
            <w:r w:rsidRPr="00FA7B24">
              <w:rPr>
                <w:rFonts w:ascii="Arial" w:hAnsi="Arial" w:cs="Arial"/>
                <w:b/>
              </w:rPr>
              <w:t xml:space="preserve"> (Четыреста миллионов) рублей.</w:t>
            </w:r>
          </w:p>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6. Способ размещения ценных бумаг, а в случае размещения ценных бумаг посредством закрытой подписки – также круг потенциальных приобретателей ценных бумаг.</w:t>
            </w:r>
          </w:p>
          <w:p w:rsidR="002C3326" w:rsidRPr="00FA7B24" w:rsidRDefault="002C3326" w:rsidP="002C3326">
            <w:pPr>
              <w:ind w:right="57"/>
              <w:jc w:val="both"/>
              <w:rPr>
                <w:rFonts w:ascii="Arial" w:hAnsi="Arial" w:cs="Arial"/>
                <w:b/>
                <w:bCs/>
                <w:iCs/>
              </w:rPr>
            </w:pPr>
            <w:r w:rsidRPr="00FA7B24">
              <w:rPr>
                <w:rFonts w:ascii="Arial" w:hAnsi="Arial" w:cs="Arial"/>
                <w:b/>
                <w:bCs/>
                <w:iCs/>
              </w:rPr>
              <w:t>Открытая подписка</w:t>
            </w:r>
          </w:p>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7. Предоставление акционерам (участникам) эмитента и/или иным лицам преимущественного права приобретения ценных бумаг.</w:t>
            </w:r>
          </w:p>
          <w:p w:rsidR="002C3326" w:rsidRPr="00FA7B24" w:rsidRDefault="002C3326" w:rsidP="002C3326">
            <w:pPr>
              <w:ind w:right="57"/>
              <w:jc w:val="both"/>
              <w:rPr>
                <w:rFonts w:ascii="Arial" w:hAnsi="Arial" w:cs="Arial"/>
                <w:b/>
                <w:snapToGrid w:val="0"/>
              </w:rPr>
            </w:pPr>
            <w:r w:rsidRPr="00FA7B24">
              <w:rPr>
                <w:rFonts w:ascii="Arial" w:hAnsi="Arial" w:cs="Arial"/>
                <w:b/>
                <w:snapToGrid w:val="0"/>
              </w:rPr>
              <w:t>Преимущественное право приобретения ценных бумаг не предоставляется.</w:t>
            </w:r>
          </w:p>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8. Цена размещения ценных бумаг или порядок ее определения.</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Цена размещения Облигаций в первый и последующие дни размещения устанавливается равной номинальной стоимости и составляет 1 000 (Одна тысяча) рублей за одну Облигацию (100% от номинальной стоимости).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Начиная со второго дня размещения Облигаций, покупатель при совершении операции купли-продажи Облигаций также уплачивает накопленный купонный доход по Облигациям (НКД), рассчитываемый по следующей формуле:</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НКД = </w:t>
            </w:r>
            <w:proofErr w:type="spellStart"/>
            <w:r w:rsidRPr="00FA7B24">
              <w:rPr>
                <w:rFonts w:ascii="Arial" w:hAnsi="Arial" w:cs="Arial"/>
                <w:b/>
                <w:bCs/>
                <w:iCs/>
              </w:rPr>
              <w:t>Nom</w:t>
            </w:r>
            <w:proofErr w:type="spellEnd"/>
            <w:r w:rsidRPr="00FA7B24">
              <w:rPr>
                <w:rFonts w:ascii="Arial" w:hAnsi="Arial" w:cs="Arial"/>
                <w:b/>
                <w:bCs/>
                <w:iCs/>
              </w:rPr>
              <w:t xml:space="preserve"> * C(1) * (T - T0)/ 365/ 100%, где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НКД – накопленный купонный доход по каждой Облигации, руб.; </w:t>
            </w:r>
          </w:p>
          <w:p w:rsidR="00FA7B24" w:rsidRPr="00FA7B24" w:rsidRDefault="00FA7B24" w:rsidP="00FA7B24">
            <w:pPr>
              <w:widowControl w:val="0"/>
              <w:adjustRightInd w:val="0"/>
              <w:jc w:val="both"/>
              <w:rPr>
                <w:rFonts w:ascii="Arial" w:hAnsi="Arial" w:cs="Arial"/>
                <w:b/>
                <w:bCs/>
                <w:iCs/>
              </w:rPr>
            </w:pPr>
            <w:proofErr w:type="spellStart"/>
            <w:r w:rsidRPr="00FA7B24">
              <w:rPr>
                <w:rFonts w:ascii="Arial" w:hAnsi="Arial" w:cs="Arial"/>
                <w:b/>
                <w:bCs/>
                <w:iCs/>
              </w:rPr>
              <w:t>Nom</w:t>
            </w:r>
            <w:proofErr w:type="spellEnd"/>
            <w:r w:rsidRPr="00FA7B24">
              <w:rPr>
                <w:rFonts w:ascii="Arial" w:hAnsi="Arial" w:cs="Arial"/>
                <w:b/>
                <w:bCs/>
                <w:iCs/>
              </w:rPr>
              <w:t xml:space="preserve"> – номинальная стоимость одной Облигации, руб.;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С(1) – размер процентной ставки по первому купону, проценты </w:t>
            </w:r>
            <w:proofErr w:type="gramStart"/>
            <w:r w:rsidRPr="00FA7B24">
              <w:rPr>
                <w:rFonts w:ascii="Arial" w:hAnsi="Arial" w:cs="Arial"/>
                <w:b/>
                <w:bCs/>
                <w:iCs/>
              </w:rPr>
              <w:t>годовых</w:t>
            </w:r>
            <w:proofErr w:type="gramEnd"/>
            <w:r w:rsidRPr="00FA7B24">
              <w:rPr>
                <w:rFonts w:ascii="Arial" w:hAnsi="Arial" w:cs="Arial"/>
                <w:b/>
                <w:bCs/>
                <w:iCs/>
              </w:rPr>
              <w:t xml:space="preserve">;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T – дата размещения Облигаций;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T0 – дата начала размещения Облигаций. </w:t>
            </w:r>
          </w:p>
          <w:p w:rsidR="00FA7B24" w:rsidRPr="00FA7B24" w:rsidRDefault="00FA7B24" w:rsidP="00FA7B24">
            <w:pPr>
              <w:jc w:val="both"/>
              <w:rPr>
                <w:rFonts w:ascii="Arial" w:hAnsi="Arial" w:cs="Arial"/>
                <w:b/>
                <w:bCs/>
                <w:iCs/>
              </w:rPr>
            </w:pPr>
            <w:r w:rsidRPr="00FA7B24">
              <w:rPr>
                <w:rFonts w:ascii="Arial" w:hAnsi="Arial" w:cs="Arial"/>
                <w:b/>
                <w:bCs/>
                <w:iCs/>
              </w:rPr>
              <w:t xml:space="preserve">Величина накопленного купонного дохода в расчете на одну Облигацию определяется с точностью до одной копейки (округление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w:t>
            </w:r>
            <w:proofErr w:type="gramStart"/>
            <w:r w:rsidRPr="00FA7B24">
              <w:rPr>
                <w:rFonts w:ascii="Arial" w:hAnsi="Arial" w:cs="Arial"/>
                <w:b/>
                <w:bCs/>
                <w:iCs/>
              </w:rPr>
              <w:t>за</w:t>
            </w:r>
            <w:proofErr w:type="gramEnd"/>
            <w:r w:rsidRPr="00FA7B24">
              <w:rPr>
                <w:rFonts w:ascii="Arial" w:hAnsi="Arial" w:cs="Arial"/>
                <w:b/>
                <w:bCs/>
                <w:iCs/>
              </w:rPr>
              <w:t xml:space="preserve"> округляемой цифра находится в промежутке от 0 до 4, и изменяется, увеличиваясь на единицу, если первая за округляемой цифра находится в промежутке от 5 до 9).</w:t>
            </w:r>
          </w:p>
          <w:p w:rsidR="002C3326" w:rsidRPr="00FA7B24" w:rsidRDefault="000C7140" w:rsidP="00FA7B24">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9. Срок размещения ценных бумаг или порядок его определения.</w:t>
            </w:r>
          </w:p>
          <w:p w:rsidR="002C3326" w:rsidRPr="00FA7B24" w:rsidRDefault="002C3326" w:rsidP="002C3326">
            <w:pPr>
              <w:jc w:val="both"/>
              <w:rPr>
                <w:rStyle w:val="SUBST"/>
                <w:rFonts w:ascii="Arial" w:hAnsi="Arial" w:cs="Arial"/>
                <w:b w:val="0"/>
                <w:i w:val="0"/>
                <w:sz w:val="20"/>
              </w:rPr>
            </w:pPr>
            <w:r w:rsidRPr="00FA7B24">
              <w:rPr>
                <w:rStyle w:val="SUBST"/>
                <w:rFonts w:ascii="Arial" w:hAnsi="Arial" w:cs="Arial"/>
                <w:b w:val="0"/>
                <w:i w:val="0"/>
                <w:sz w:val="20"/>
              </w:rPr>
              <w:t xml:space="preserve">Порядок определения даты начала размещения: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Размещение Облигаций начинается не ранее чем через две недели после раскрытия Эмитентом информации о государственной регистрации выпуска Облигаций и порядке доступа к информации, </w:t>
            </w:r>
            <w:r w:rsidRPr="00FA7B24">
              <w:rPr>
                <w:rFonts w:ascii="Arial" w:hAnsi="Arial" w:cs="Arial"/>
                <w:b/>
                <w:bCs/>
                <w:iCs/>
              </w:rPr>
              <w:lastRenderedPageBreak/>
              <w:t xml:space="preserve">содержащейся в Проспекте ценных бумаг. </w:t>
            </w:r>
            <w:proofErr w:type="gramStart"/>
            <w:r w:rsidRPr="00FA7B24">
              <w:rPr>
                <w:rFonts w:ascii="Arial" w:hAnsi="Arial" w:cs="Arial"/>
                <w:b/>
                <w:bCs/>
                <w:iCs/>
              </w:rPr>
              <w:t xml:space="preserve">Указанный двухнедельный срок исчисляется с даты, следующей за датой публикации сообщения о государственной регистрации выпуска Облигаций и о порядке доступа к информации, содержащейся в проспекте ценных бумаг, в информационном ресурсе, обновляемом в режиме реального времени и предоставляемом информационным агентством, которое в установленном порядке уполномочено на проведение действий по раскрытию информации на рынке ценных бумаг (далее по тексту – «лента новостей»). </w:t>
            </w:r>
            <w:proofErr w:type="gramEnd"/>
          </w:p>
          <w:p w:rsidR="00FA7B24" w:rsidRPr="00FA7B24" w:rsidRDefault="00FA7B24" w:rsidP="00FA7B24">
            <w:pPr>
              <w:widowControl w:val="0"/>
              <w:adjustRightInd w:val="0"/>
              <w:jc w:val="both"/>
              <w:rPr>
                <w:rFonts w:ascii="Arial" w:hAnsi="Arial" w:cs="Arial"/>
                <w:b/>
                <w:bCs/>
                <w:iCs/>
              </w:rPr>
            </w:pPr>
            <w:proofErr w:type="gramStart"/>
            <w:r w:rsidRPr="00FA7B24">
              <w:rPr>
                <w:rFonts w:ascii="Arial" w:hAnsi="Arial" w:cs="Arial"/>
                <w:b/>
                <w:bCs/>
                <w:iCs/>
              </w:rPr>
              <w:t>Информация о государственной регистрации данного выпуска Облигаций раскрывается Эмитентом в форме, установленной нормативными правовыми актами, регулирующими порядок раскрытия информации на рынке ценных бумаг, и действующими на момент наступления указанного события, в следующие сроки с даты опубликования информации о государственной регистрации выпуска ценных бумаг Эмитента на странице регистрирующего органа в сети Интернет или даты получения Эмитентом письменного уведомления регистрирующего органа о</w:t>
            </w:r>
            <w:proofErr w:type="gramEnd"/>
            <w:r w:rsidRPr="00FA7B24">
              <w:rPr>
                <w:rFonts w:ascii="Arial" w:hAnsi="Arial" w:cs="Arial"/>
                <w:b/>
                <w:bCs/>
                <w:iCs/>
              </w:rPr>
              <w:t xml:space="preserve"> государственной регистрации выпуска ценных бумаг посредством почтовой, факсимильной, электронной связи, вручения под роспись в зависимости от того, какая из указанных дат наступит раньше:</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w:t>
            </w:r>
            <w:r w:rsidRPr="00FA7B24">
              <w:rPr>
                <w:rFonts w:ascii="Arial" w:hAnsi="Arial" w:cs="Arial"/>
                <w:b/>
                <w:bCs/>
                <w:iCs/>
              </w:rPr>
              <w:tab/>
              <w:t>в ленте новостей - не позднее 1 (Одного) дня;</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w:t>
            </w:r>
            <w:r w:rsidRPr="00FA7B24">
              <w:rPr>
                <w:rFonts w:ascii="Arial" w:hAnsi="Arial" w:cs="Arial"/>
                <w:b/>
                <w:bCs/>
                <w:iCs/>
              </w:rPr>
              <w:tab/>
              <w:t>на странице Эмитента в информационно-телекоммуникационной сети «Интернет» (далее – Интернет) по адресу: http://www.yatec.ru - не позднее 2 (Двух) дней;</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При этом публикация в сети Интернет осуществляется после публикации в ленте новостей</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Дата начала размещения Облигаций (далее также – «дата начала размещения») определяется единоличным исполнительным органом управления Эмитента.</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Сообщение о дате начала размещения Облигаций раскрывается Эмитентом в следующие сроки:</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w:t>
            </w:r>
            <w:r w:rsidRPr="00FA7B24">
              <w:rPr>
                <w:rFonts w:ascii="Arial" w:hAnsi="Arial" w:cs="Arial"/>
                <w:b/>
                <w:bCs/>
                <w:iCs/>
              </w:rPr>
              <w:tab/>
              <w:t>в ленте новостей - не позднее, чем за 5 (Пять) дней до даты начала размещения облигаций;</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w:t>
            </w:r>
            <w:r w:rsidRPr="00FA7B24">
              <w:rPr>
                <w:rFonts w:ascii="Arial" w:hAnsi="Arial" w:cs="Arial"/>
                <w:b/>
                <w:bCs/>
                <w:iCs/>
              </w:rPr>
              <w:tab/>
              <w:t xml:space="preserve">на странице Эмитента в сети Интернет по адресу: http://www.yatec.ru - не позднее, чем за 4 (Четыре) дня до даты начала размещения Облигаций.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Публикация в сети Интернет осуществляется после публикации в ленте новостей.</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О принятом </w:t>
            </w:r>
            <w:proofErr w:type="gramStart"/>
            <w:r w:rsidRPr="00FA7B24">
              <w:rPr>
                <w:rFonts w:ascii="Arial" w:hAnsi="Arial" w:cs="Arial"/>
                <w:b/>
                <w:bCs/>
                <w:iCs/>
              </w:rPr>
              <w:t>решении</w:t>
            </w:r>
            <w:proofErr w:type="gramEnd"/>
            <w:r w:rsidRPr="00FA7B24">
              <w:rPr>
                <w:rFonts w:ascii="Arial" w:hAnsi="Arial" w:cs="Arial"/>
                <w:b/>
                <w:bCs/>
                <w:iCs/>
              </w:rPr>
              <w:t xml:space="preserve"> о дате начала размещения облигаций Эмитент уведомляет ЗАО «ФБ ММВБ»  не позднее, чем за пять дней до даты начала размещения.</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Дата начала размещения Облигаций, определенная уполномоченным органом управления Эмитента,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Облигаций, определенных законодательством Российской Федерации, Решением о выпуске ценных бумаг и Проспектом ценных бумаг.</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О принятом </w:t>
            </w:r>
            <w:proofErr w:type="gramStart"/>
            <w:r w:rsidRPr="00FA7B24">
              <w:rPr>
                <w:rFonts w:ascii="Arial" w:hAnsi="Arial" w:cs="Arial"/>
                <w:b/>
                <w:bCs/>
                <w:iCs/>
              </w:rPr>
              <w:t>решении</w:t>
            </w:r>
            <w:proofErr w:type="gramEnd"/>
            <w:r w:rsidRPr="00FA7B24">
              <w:rPr>
                <w:rFonts w:ascii="Arial" w:hAnsi="Arial" w:cs="Arial"/>
                <w:b/>
                <w:bCs/>
                <w:iCs/>
              </w:rPr>
              <w:t xml:space="preserve"> об изменении даты начала размещения Эмитент уведомляет ЗАО «ФБ ММВБ» в дату принятия такого решения.</w:t>
            </w:r>
          </w:p>
          <w:p w:rsidR="00FA7B24" w:rsidRPr="008D737D" w:rsidRDefault="00FA7B24" w:rsidP="00FA7B24">
            <w:pPr>
              <w:widowControl w:val="0"/>
              <w:adjustRightInd w:val="0"/>
              <w:jc w:val="both"/>
              <w:rPr>
                <w:rFonts w:ascii="Arial" w:hAnsi="Arial" w:cs="Arial"/>
                <w:bCs/>
                <w:iCs/>
              </w:rPr>
            </w:pPr>
            <w:r w:rsidRPr="008D737D">
              <w:rPr>
                <w:rFonts w:ascii="Arial" w:hAnsi="Arial" w:cs="Arial"/>
                <w:bCs/>
                <w:iCs/>
              </w:rPr>
              <w:t xml:space="preserve">Порядок определения даты окончания размещения: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Датой окончания размещения Облигаций является более ранняя из следующих дат: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а) 10-й рабочий день, начиная с даты, следующей за датой начала размещения Облигаций;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б) дата размещения последней Облигации выпуска. </w:t>
            </w:r>
          </w:p>
          <w:p w:rsidR="00FA7B24" w:rsidRPr="00FA7B24" w:rsidRDefault="00FA7B24" w:rsidP="00FA7B24">
            <w:pPr>
              <w:jc w:val="both"/>
              <w:rPr>
                <w:rFonts w:ascii="Arial" w:hAnsi="Arial" w:cs="Arial"/>
                <w:b/>
                <w:bCs/>
                <w:iCs/>
              </w:rPr>
            </w:pPr>
            <w:r w:rsidRPr="00FA7B24">
              <w:rPr>
                <w:rFonts w:ascii="Arial" w:hAnsi="Arial" w:cs="Arial"/>
                <w:b/>
                <w:bCs/>
                <w:iCs/>
              </w:rPr>
              <w:t>При этом срок размещения Облигаций не может превышать одного года с даты государственной регистрации выпуска Облигаций.</w:t>
            </w:r>
          </w:p>
          <w:p w:rsidR="002C3326" w:rsidRPr="00FA7B24" w:rsidRDefault="000C7140" w:rsidP="00FA7B24">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10. Факт регистрации (отсутствия регистрации) проспекта ценных бумаг одновременно с государственной регистрацией выпуска (дополнительного выпуска) этих ценных бумаг.</w:t>
            </w:r>
          </w:p>
          <w:p w:rsidR="002C3326" w:rsidRPr="00FA7B24" w:rsidRDefault="002C3326" w:rsidP="002C3326">
            <w:pPr>
              <w:ind w:right="57"/>
              <w:jc w:val="both"/>
              <w:rPr>
                <w:rFonts w:ascii="Arial" w:hAnsi="Arial" w:cs="Arial"/>
                <w:b/>
              </w:rPr>
            </w:pPr>
            <w:r w:rsidRPr="00FA7B24">
              <w:rPr>
                <w:rFonts w:ascii="Arial" w:hAnsi="Arial" w:cs="Arial"/>
                <w:b/>
              </w:rPr>
              <w:t>Одновременно с государственной регистрацией выпуска ценных бумаг был зарегистрирован Проспект ценных бумаг.</w:t>
            </w:r>
          </w:p>
          <w:p w:rsidR="002C3326" w:rsidRPr="00FA7B24" w:rsidRDefault="000C7140" w:rsidP="002C3326">
            <w:pPr>
              <w:jc w:val="both"/>
              <w:rPr>
                <w:rStyle w:val="SUBST"/>
                <w:rFonts w:ascii="Arial" w:hAnsi="Arial" w:cs="Arial"/>
                <w:b w:val="0"/>
                <w:i w:val="0"/>
                <w:sz w:val="20"/>
              </w:rPr>
            </w:pPr>
            <w:r w:rsidRPr="00FA7B24">
              <w:rPr>
                <w:rStyle w:val="SUBST"/>
                <w:rFonts w:ascii="Arial" w:hAnsi="Arial" w:cs="Arial"/>
                <w:b w:val="0"/>
                <w:i w:val="0"/>
                <w:sz w:val="20"/>
              </w:rPr>
              <w:t>2.</w:t>
            </w:r>
            <w:r w:rsidR="002C3326" w:rsidRPr="00FA7B24">
              <w:rPr>
                <w:rStyle w:val="SUBST"/>
                <w:rFonts w:ascii="Arial" w:hAnsi="Arial" w:cs="Arial"/>
                <w:b w:val="0"/>
                <w:i w:val="0"/>
                <w:sz w:val="20"/>
              </w:rPr>
              <w:t>11. В случае регистрации проспекта ценных бумаг – порядок обеспечения доступа к информации, содержащейся в проспекте ценных бумаг.</w:t>
            </w:r>
          </w:p>
          <w:p w:rsidR="00FA7B24" w:rsidRPr="00FA7B24" w:rsidRDefault="00FA7B24" w:rsidP="00FA7B24">
            <w:pPr>
              <w:widowControl w:val="0"/>
              <w:adjustRightInd w:val="0"/>
              <w:jc w:val="both"/>
              <w:rPr>
                <w:rFonts w:ascii="Arial" w:hAnsi="Arial" w:cs="Arial"/>
                <w:b/>
                <w:bCs/>
                <w:iCs/>
              </w:rPr>
            </w:pPr>
            <w:proofErr w:type="gramStart"/>
            <w:r w:rsidRPr="00FA7B24">
              <w:rPr>
                <w:rFonts w:ascii="Arial" w:hAnsi="Arial" w:cs="Arial"/>
                <w:b/>
                <w:bCs/>
                <w:iCs/>
              </w:rPr>
              <w:t>Эмитент публикует текст зарегистрированного Проспекта ценных бумаг на странице Эмитента в сети Интернет http://www.yatec.ru в срок не более 2 (Двух) дней с даты опубликования информации о государственной регистрации выпуска Облигаций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Облигаций посредством почтовой, факсимильной, электронной связи, вручения под</w:t>
            </w:r>
            <w:proofErr w:type="gramEnd"/>
            <w:r w:rsidRPr="00FA7B24">
              <w:rPr>
                <w:rFonts w:ascii="Arial" w:hAnsi="Arial" w:cs="Arial"/>
                <w:b/>
                <w:bCs/>
                <w:iCs/>
              </w:rPr>
              <w:t xml:space="preserve"> роспись в зависимости от того, какая из указанных дат наступит раньше. При опубликовании текста Проспекта ценных бумаг на странице в сети Интернет указывается государственный регистрационный номер выпуска Облигаций, в отношении которого зарегистрирован Проспект ценных бумаг, дата его регистрации и наименование регистрирующего органа, осуществившего регистрацию Проспекта ценных бумаг.</w:t>
            </w:r>
          </w:p>
          <w:p w:rsidR="00FA7B24" w:rsidRPr="00FA7B24" w:rsidRDefault="00FA7B24" w:rsidP="00FA7B24">
            <w:pPr>
              <w:widowControl w:val="0"/>
              <w:adjustRightInd w:val="0"/>
              <w:jc w:val="both"/>
              <w:rPr>
                <w:rFonts w:ascii="Arial" w:hAnsi="Arial" w:cs="Arial"/>
                <w:b/>
                <w:bCs/>
                <w:iCs/>
              </w:rPr>
            </w:pPr>
            <w:proofErr w:type="gramStart"/>
            <w:r w:rsidRPr="00FA7B24">
              <w:rPr>
                <w:rFonts w:ascii="Arial" w:hAnsi="Arial" w:cs="Arial"/>
                <w:b/>
                <w:bCs/>
                <w:iCs/>
              </w:rPr>
              <w:t>Текст зарегистрированного Проспекта ценных бумаг должен быть доступен в сети Интернет с даты истечения срока, установленного Положением для его опубликования в сети Интернет, а если он опубликован в сети Интернет после истечения такого срока, - с даты его опубликования в сети Интернет, и до погашения всех таких иных ценных бумаг соответствующего выпуска, в отношении которого был зарегистрирован проспект иных ценных бумаг.</w:t>
            </w:r>
            <w:proofErr w:type="gramEnd"/>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Начиная с даты государственной регистрации выпуска Облигаций, все заинтересованные лица могут ознакомиться с Решением о выпуске ценных бумаг и Проспектом ценных бумаг, а также получить их копии по следующему адресу: </w:t>
            </w:r>
            <w:r w:rsidRPr="00FA7B24">
              <w:rPr>
                <w:rFonts w:ascii="Arial" w:hAnsi="Arial" w:cs="Arial"/>
                <w:b/>
              </w:rPr>
              <w:t xml:space="preserve">678214, Республика Саха (Якутия), Вилюйский улус, п. </w:t>
            </w:r>
            <w:proofErr w:type="spellStart"/>
            <w:r w:rsidRPr="00FA7B24">
              <w:rPr>
                <w:rFonts w:ascii="Arial" w:hAnsi="Arial" w:cs="Arial"/>
                <w:b/>
              </w:rPr>
              <w:t>Кысыл-Сыр</w:t>
            </w:r>
            <w:proofErr w:type="spellEnd"/>
            <w:r w:rsidRPr="00FA7B24">
              <w:rPr>
                <w:rFonts w:ascii="Arial" w:hAnsi="Arial" w:cs="Arial"/>
                <w:b/>
              </w:rPr>
              <w:t>, ул. Ленина, д. 4.</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 xml:space="preserve">Эмитент обязан предоставить копии указанных документов владельцам ценных бумаг Эмитента и </w:t>
            </w:r>
            <w:r w:rsidRPr="00FA7B24">
              <w:rPr>
                <w:rFonts w:ascii="Arial" w:hAnsi="Arial" w:cs="Arial"/>
                <w:b/>
                <w:bCs/>
                <w:iCs/>
              </w:rPr>
              <w:lastRenderedPageBreak/>
              <w:t xml:space="preserve">иным заинтересованным лицам по их требованию за плату, не превышающую расходы по изготовлению такой копии, в срок не более 7 (Семи) дней с даты предъявления требования. </w:t>
            </w:r>
          </w:p>
          <w:p w:rsidR="00FA7B24" w:rsidRPr="00FA7B24" w:rsidRDefault="00FA7B24" w:rsidP="00FA7B24">
            <w:pPr>
              <w:widowControl w:val="0"/>
              <w:adjustRightInd w:val="0"/>
              <w:jc w:val="both"/>
              <w:rPr>
                <w:rFonts w:ascii="Arial" w:hAnsi="Arial" w:cs="Arial"/>
                <w:b/>
                <w:bCs/>
                <w:iCs/>
              </w:rPr>
            </w:pPr>
            <w:r w:rsidRPr="00FA7B24">
              <w:rPr>
                <w:rFonts w:ascii="Arial" w:hAnsi="Arial" w:cs="Arial"/>
                <w:b/>
                <w:bCs/>
                <w:iCs/>
              </w:rPr>
              <w:t>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должны быть опубликованы Эмитентом на странице Эмитента в сети Интернет http://www.yatec.ru/about/contact</w:t>
            </w:r>
          </w:p>
          <w:p w:rsidR="002C3326" w:rsidRPr="00FA7B24" w:rsidRDefault="000C7140" w:rsidP="002C3326">
            <w:pPr>
              <w:ind w:right="57"/>
              <w:jc w:val="both"/>
              <w:rPr>
                <w:rFonts w:ascii="Arial" w:hAnsi="Arial" w:cs="Arial"/>
              </w:rPr>
            </w:pPr>
            <w:r w:rsidRPr="00FA7B24">
              <w:rPr>
                <w:rStyle w:val="SUBST"/>
                <w:rFonts w:ascii="Arial" w:hAnsi="Arial" w:cs="Arial"/>
                <w:b w:val="0"/>
                <w:i w:val="0"/>
                <w:sz w:val="20"/>
              </w:rPr>
              <w:t>2.</w:t>
            </w:r>
            <w:r w:rsidR="002C3326" w:rsidRPr="00FA7B24">
              <w:rPr>
                <w:rStyle w:val="SUBST"/>
                <w:rFonts w:ascii="Arial" w:hAnsi="Arial" w:cs="Arial"/>
                <w:b w:val="0"/>
                <w:i w:val="0"/>
                <w:sz w:val="20"/>
              </w:rPr>
              <w:t>12. В случае подписания проспекта ценных бумаг финансовым консультантом на рынке ценных бумаг – указание на это обстоятельство, а также полное и сокращенное фирменные наименования финансового консультанта на рынке ценных бумаг, его место нахождения.</w:t>
            </w:r>
          </w:p>
          <w:p w:rsidR="000C7140" w:rsidRPr="00FA7B24" w:rsidRDefault="002C3326" w:rsidP="00FA7B24">
            <w:pPr>
              <w:ind w:right="57"/>
              <w:jc w:val="both"/>
              <w:rPr>
                <w:rStyle w:val="SUBST"/>
                <w:rFonts w:ascii="Arial" w:hAnsi="Arial" w:cs="Arial"/>
                <w:b w:val="0"/>
                <w:i w:val="0"/>
                <w:sz w:val="20"/>
              </w:rPr>
            </w:pPr>
            <w:r w:rsidRPr="00FA7B24">
              <w:rPr>
                <w:rFonts w:ascii="Arial" w:hAnsi="Arial" w:cs="Arial"/>
                <w:b/>
              </w:rPr>
              <w:t>Финансовый консультант на рынке ценных бумаг для подписания проспекта ценных бумаг не привлекался</w:t>
            </w:r>
          </w:p>
        </w:tc>
      </w:tr>
    </w:tbl>
    <w:p w:rsidR="00EF63AB" w:rsidRPr="00FA7B24" w:rsidRDefault="00EF63AB" w:rsidP="00CD56E8">
      <w:pPr>
        <w:rPr>
          <w:rFonts w:ascii="Arial" w:hAnsi="Arial" w:cs="Arial"/>
        </w:rPr>
      </w:pPr>
    </w:p>
    <w:tbl>
      <w:tblPr>
        <w:tblpPr w:leftFromText="180" w:rightFromText="180" w:vertAnchor="text" w:horzAnchor="margin"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19"/>
        <w:gridCol w:w="406"/>
        <w:gridCol w:w="283"/>
        <w:gridCol w:w="1559"/>
        <w:gridCol w:w="397"/>
        <w:gridCol w:w="340"/>
        <w:gridCol w:w="644"/>
        <w:gridCol w:w="1559"/>
        <w:gridCol w:w="284"/>
        <w:gridCol w:w="3543"/>
      </w:tblGrid>
      <w:tr w:rsidR="000430CB" w:rsidRPr="00FA7B24" w:rsidTr="00BA3D22">
        <w:tc>
          <w:tcPr>
            <w:tcW w:w="10234" w:type="dxa"/>
            <w:gridSpan w:val="10"/>
          </w:tcPr>
          <w:p w:rsidR="000430CB" w:rsidRPr="00FA7B24" w:rsidRDefault="000430CB" w:rsidP="00BA3D22">
            <w:pPr>
              <w:jc w:val="center"/>
              <w:rPr>
                <w:rFonts w:ascii="Arial" w:hAnsi="Arial" w:cs="Arial"/>
              </w:rPr>
            </w:pPr>
            <w:r w:rsidRPr="00FA7B24">
              <w:rPr>
                <w:rFonts w:ascii="Arial" w:hAnsi="Arial" w:cs="Arial"/>
              </w:rPr>
              <w:t>3. Подпись</w:t>
            </w:r>
          </w:p>
        </w:tc>
      </w:tr>
      <w:tr w:rsidR="000430CB" w:rsidRPr="00FA7B24" w:rsidTr="00BA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8"/>
        </w:trPr>
        <w:tc>
          <w:tcPr>
            <w:tcW w:w="4848" w:type="dxa"/>
            <w:gridSpan w:val="7"/>
            <w:tcBorders>
              <w:top w:val="nil"/>
              <w:left w:val="single" w:sz="4" w:space="0" w:color="auto"/>
              <w:bottom w:val="nil"/>
              <w:right w:val="nil"/>
            </w:tcBorders>
          </w:tcPr>
          <w:p w:rsidR="000430CB" w:rsidRPr="00FA7B24" w:rsidRDefault="000430CB" w:rsidP="00BA3D22">
            <w:pPr>
              <w:ind w:left="85"/>
              <w:rPr>
                <w:rFonts w:ascii="Arial" w:hAnsi="Arial" w:cs="Arial"/>
              </w:rPr>
            </w:pPr>
          </w:p>
          <w:p w:rsidR="000430CB" w:rsidRPr="00FA7B24" w:rsidRDefault="000430CB" w:rsidP="00BA3D22">
            <w:pPr>
              <w:ind w:left="85"/>
              <w:rPr>
                <w:rFonts w:ascii="Arial" w:hAnsi="Arial" w:cs="Arial"/>
              </w:rPr>
            </w:pPr>
            <w:r w:rsidRPr="00FA7B24">
              <w:rPr>
                <w:rFonts w:ascii="Arial" w:hAnsi="Arial" w:cs="Arial"/>
              </w:rPr>
              <w:t xml:space="preserve">3.1.  </w:t>
            </w:r>
            <w:r w:rsidR="00FA7B24" w:rsidRPr="00FA7B24">
              <w:rPr>
                <w:rFonts w:ascii="Arial" w:hAnsi="Arial" w:cs="Arial"/>
              </w:rPr>
              <w:t xml:space="preserve"> Генеральный директор ОАО «ЯТЭК»</w:t>
            </w:r>
          </w:p>
        </w:tc>
        <w:tc>
          <w:tcPr>
            <w:tcW w:w="1559" w:type="dxa"/>
            <w:tcBorders>
              <w:top w:val="nil"/>
              <w:left w:val="nil"/>
              <w:bottom w:val="single" w:sz="4" w:space="0" w:color="auto"/>
              <w:right w:val="nil"/>
            </w:tcBorders>
          </w:tcPr>
          <w:p w:rsidR="000430CB" w:rsidRPr="00FA7B24" w:rsidRDefault="000430CB" w:rsidP="00BA3D22">
            <w:pPr>
              <w:jc w:val="both"/>
              <w:rPr>
                <w:rFonts w:ascii="Arial" w:hAnsi="Arial" w:cs="Arial"/>
              </w:rPr>
            </w:pPr>
          </w:p>
        </w:tc>
        <w:tc>
          <w:tcPr>
            <w:tcW w:w="284" w:type="dxa"/>
            <w:tcBorders>
              <w:top w:val="nil"/>
              <w:left w:val="nil"/>
              <w:bottom w:val="nil"/>
              <w:right w:val="nil"/>
            </w:tcBorders>
          </w:tcPr>
          <w:p w:rsidR="000430CB" w:rsidRPr="00FA7B24" w:rsidRDefault="000430CB" w:rsidP="00BA3D22">
            <w:pPr>
              <w:jc w:val="both"/>
              <w:rPr>
                <w:rFonts w:ascii="Arial" w:hAnsi="Arial" w:cs="Arial"/>
              </w:rPr>
            </w:pPr>
          </w:p>
        </w:tc>
        <w:tc>
          <w:tcPr>
            <w:tcW w:w="3543" w:type="dxa"/>
            <w:tcBorders>
              <w:top w:val="nil"/>
              <w:left w:val="nil"/>
              <w:bottom w:val="nil"/>
              <w:right w:val="single" w:sz="4" w:space="0" w:color="auto"/>
            </w:tcBorders>
            <w:vAlign w:val="bottom"/>
          </w:tcPr>
          <w:p w:rsidR="000430CB" w:rsidRPr="00FA7B24" w:rsidRDefault="00FA7B24" w:rsidP="00BA3D22">
            <w:pPr>
              <w:jc w:val="center"/>
              <w:rPr>
                <w:rFonts w:ascii="Arial" w:hAnsi="Arial" w:cs="Arial"/>
              </w:rPr>
            </w:pPr>
            <w:r w:rsidRPr="00FA7B24">
              <w:rPr>
                <w:rFonts w:ascii="Arial" w:hAnsi="Arial" w:cs="Arial"/>
              </w:rPr>
              <w:t>З.К.Юсупов</w:t>
            </w:r>
          </w:p>
        </w:tc>
      </w:tr>
      <w:tr w:rsidR="000430CB" w:rsidRPr="00FA7B24" w:rsidTr="00BA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4848" w:type="dxa"/>
            <w:gridSpan w:val="7"/>
            <w:tcBorders>
              <w:top w:val="nil"/>
              <w:left w:val="single" w:sz="4" w:space="0" w:color="auto"/>
              <w:bottom w:val="nil"/>
              <w:right w:val="nil"/>
            </w:tcBorders>
          </w:tcPr>
          <w:p w:rsidR="000430CB" w:rsidRPr="00FA7B24" w:rsidRDefault="000430CB" w:rsidP="00BA3D22">
            <w:pPr>
              <w:ind w:left="85"/>
              <w:jc w:val="both"/>
              <w:rPr>
                <w:rFonts w:ascii="Arial" w:hAnsi="Arial" w:cs="Arial"/>
              </w:rPr>
            </w:pPr>
          </w:p>
        </w:tc>
        <w:tc>
          <w:tcPr>
            <w:tcW w:w="1559" w:type="dxa"/>
            <w:tcBorders>
              <w:top w:val="nil"/>
              <w:left w:val="nil"/>
              <w:bottom w:val="nil"/>
              <w:right w:val="nil"/>
            </w:tcBorders>
          </w:tcPr>
          <w:p w:rsidR="000430CB" w:rsidRPr="00FA7B24" w:rsidRDefault="000430CB" w:rsidP="00BA3D22">
            <w:pPr>
              <w:jc w:val="both"/>
              <w:rPr>
                <w:rFonts w:ascii="Arial" w:hAnsi="Arial" w:cs="Arial"/>
              </w:rPr>
            </w:pPr>
            <w:r w:rsidRPr="00FA7B24">
              <w:rPr>
                <w:rFonts w:ascii="Arial" w:hAnsi="Arial" w:cs="Arial"/>
              </w:rPr>
              <w:t xml:space="preserve">   (подпись)</w:t>
            </w:r>
          </w:p>
        </w:tc>
        <w:tc>
          <w:tcPr>
            <w:tcW w:w="284" w:type="dxa"/>
            <w:tcBorders>
              <w:top w:val="nil"/>
              <w:left w:val="nil"/>
              <w:bottom w:val="nil"/>
              <w:right w:val="nil"/>
            </w:tcBorders>
          </w:tcPr>
          <w:p w:rsidR="000430CB" w:rsidRPr="00FA7B24" w:rsidRDefault="000430CB" w:rsidP="00BA3D22">
            <w:pPr>
              <w:jc w:val="both"/>
              <w:rPr>
                <w:rFonts w:ascii="Arial" w:hAnsi="Arial" w:cs="Arial"/>
              </w:rPr>
            </w:pPr>
          </w:p>
        </w:tc>
        <w:tc>
          <w:tcPr>
            <w:tcW w:w="3543" w:type="dxa"/>
            <w:tcBorders>
              <w:top w:val="nil"/>
              <w:left w:val="nil"/>
              <w:bottom w:val="nil"/>
              <w:right w:val="single" w:sz="4" w:space="0" w:color="auto"/>
            </w:tcBorders>
          </w:tcPr>
          <w:p w:rsidR="000430CB" w:rsidRPr="00FA7B24" w:rsidRDefault="000430CB" w:rsidP="00BA3D22">
            <w:pPr>
              <w:jc w:val="both"/>
              <w:rPr>
                <w:rFonts w:ascii="Arial" w:hAnsi="Arial" w:cs="Arial"/>
              </w:rPr>
            </w:pPr>
          </w:p>
        </w:tc>
      </w:tr>
      <w:tr w:rsidR="000430CB" w:rsidRPr="00FA7B24" w:rsidTr="00BA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0"/>
        </w:trPr>
        <w:tc>
          <w:tcPr>
            <w:tcW w:w="1219" w:type="dxa"/>
            <w:tcBorders>
              <w:top w:val="nil"/>
              <w:left w:val="single" w:sz="4" w:space="0" w:color="auto"/>
              <w:bottom w:val="nil"/>
              <w:right w:val="nil"/>
            </w:tcBorders>
            <w:vAlign w:val="bottom"/>
          </w:tcPr>
          <w:p w:rsidR="000430CB" w:rsidRPr="00FA7B24" w:rsidRDefault="000430CB" w:rsidP="00BA3D22">
            <w:pPr>
              <w:ind w:left="57"/>
              <w:jc w:val="both"/>
              <w:rPr>
                <w:rFonts w:ascii="Arial" w:hAnsi="Arial" w:cs="Arial"/>
              </w:rPr>
            </w:pPr>
            <w:r w:rsidRPr="00FA7B24">
              <w:rPr>
                <w:rFonts w:ascii="Arial" w:hAnsi="Arial" w:cs="Arial"/>
              </w:rPr>
              <w:t>3.2. Дата “</w:t>
            </w:r>
          </w:p>
        </w:tc>
        <w:tc>
          <w:tcPr>
            <w:tcW w:w="406" w:type="dxa"/>
            <w:tcBorders>
              <w:top w:val="nil"/>
              <w:left w:val="nil"/>
              <w:bottom w:val="single" w:sz="4" w:space="0" w:color="auto"/>
              <w:right w:val="nil"/>
            </w:tcBorders>
            <w:vAlign w:val="bottom"/>
          </w:tcPr>
          <w:p w:rsidR="000430CB" w:rsidRPr="00FA7B24" w:rsidRDefault="00FA7B24" w:rsidP="00BA3D22">
            <w:pPr>
              <w:jc w:val="both"/>
              <w:rPr>
                <w:rFonts w:ascii="Arial" w:hAnsi="Arial" w:cs="Arial"/>
              </w:rPr>
            </w:pPr>
            <w:r w:rsidRPr="00FA7B24">
              <w:rPr>
                <w:rFonts w:ascii="Arial" w:hAnsi="Arial" w:cs="Arial"/>
              </w:rPr>
              <w:t>12</w:t>
            </w:r>
          </w:p>
        </w:tc>
        <w:tc>
          <w:tcPr>
            <w:tcW w:w="283" w:type="dxa"/>
            <w:tcBorders>
              <w:top w:val="nil"/>
              <w:left w:val="nil"/>
              <w:bottom w:val="nil"/>
              <w:right w:val="nil"/>
            </w:tcBorders>
            <w:vAlign w:val="bottom"/>
          </w:tcPr>
          <w:p w:rsidR="000430CB" w:rsidRPr="00FA7B24" w:rsidRDefault="000430CB" w:rsidP="00BA3D22">
            <w:pPr>
              <w:jc w:val="both"/>
              <w:rPr>
                <w:rFonts w:ascii="Arial" w:hAnsi="Arial" w:cs="Arial"/>
              </w:rPr>
            </w:pPr>
            <w:r w:rsidRPr="00FA7B24">
              <w:rPr>
                <w:rFonts w:ascii="Arial" w:hAnsi="Arial" w:cs="Arial"/>
              </w:rPr>
              <w:t>”</w:t>
            </w:r>
          </w:p>
        </w:tc>
        <w:tc>
          <w:tcPr>
            <w:tcW w:w="1559" w:type="dxa"/>
            <w:tcBorders>
              <w:top w:val="nil"/>
              <w:left w:val="nil"/>
              <w:bottom w:val="single" w:sz="4" w:space="0" w:color="auto"/>
              <w:right w:val="nil"/>
            </w:tcBorders>
            <w:vAlign w:val="bottom"/>
          </w:tcPr>
          <w:p w:rsidR="000430CB" w:rsidRPr="00FA7B24" w:rsidRDefault="00FA7B24" w:rsidP="00BA3D22">
            <w:pPr>
              <w:jc w:val="both"/>
              <w:rPr>
                <w:rFonts w:ascii="Arial" w:hAnsi="Arial" w:cs="Arial"/>
              </w:rPr>
            </w:pPr>
            <w:r w:rsidRPr="00FA7B24">
              <w:rPr>
                <w:rFonts w:ascii="Arial" w:hAnsi="Arial" w:cs="Arial"/>
              </w:rPr>
              <w:t>октября</w:t>
            </w:r>
          </w:p>
        </w:tc>
        <w:tc>
          <w:tcPr>
            <w:tcW w:w="397" w:type="dxa"/>
            <w:tcBorders>
              <w:top w:val="nil"/>
              <w:left w:val="nil"/>
              <w:bottom w:val="nil"/>
              <w:right w:val="nil"/>
            </w:tcBorders>
            <w:vAlign w:val="bottom"/>
          </w:tcPr>
          <w:p w:rsidR="000430CB" w:rsidRPr="00FA7B24" w:rsidRDefault="000430CB" w:rsidP="00BA3D22">
            <w:pPr>
              <w:jc w:val="both"/>
              <w:rPr>
                <w:rFonts w:ascii="Arial" w:hAnsi="Arial" w:cs="Arial"/>
              </w:rPr>
            </w:pPr>
            <w:r w:rsidRPr="00FA7B24">
              <w:rPr>
                <w:rFonts w:ascii="Arial" w:hAnsi="Arial" w:cs="Arial"/>
              </w:rPr>
              <w:t>20</w:t>
            </w:r>
          </w:p>
        </w:tc>
        <w:tc>
          <w:tcPr>
            <w:tcW w:w="340" w:type="dxa"/>
            <w:tcBorders>
              <w:top w:val="nil"/>
              <w:left w:val="nil"/>
              <w:bottom w:val="single" w:sz="4" w:space="0" w:color="auto"/>
              <w:right w:val="nil"/>
            </w:tcBorders>
            <w:vAlign w:val="bottom"/>
          </w:tcPr>
          <w:p w:rsidR="000430CB" w:rsidRPr="00FA7B24" w:rsidRDefault="000430CB" w:rsidP="000C7140">
            <w:pPr>
              <w:jc w:val="both"/>
              <w:rPr>
                <w:rFonts w:ascii="Arial" w:hAnsi="Arial" w:cs="Arial"/>
              </w:rPr>
            </w:pPr>
            <w:r w:rsidRPr="00FA7B24">
              <w:rPr>
                <w:rFonts w:ascii="Arial" w:hAnsi="Arial" w:cs="Arial"/>
              </w:rPr>
              <w:t>1</w:t>
            </w:r>
            <w:r w:rsidR="000C7140" w:rsidRPr="00FA7B24">
              <w:rPr>
                <w:rFonts w:ascii="Arial" w:hAnsi="Arial" w:cs="Arial"/>
              </w:rPr>
              <w:t>2</w:t>
            </w:r>
          </w:p>
        </w:tc>
        <w:tc>
          <w:tcPr>
            <w:tcW w:w="6030" w:type="dxa"/>
            <w:gridSpan w:val="4"/>
            <w:tcBorders>
              <w:top w:val="nil"/>
              <w:left w:val="nil"/>
              <w:bottom w:val="nil"/>
              <w:right w:val="single" w:sz="4" w:space="0" w:color="auto"/>
            </w:tcBorders>
            <w:vAlign w:val="bottom"/>
          </w:tcPr>
          <w:p w:rsidR="000430CB" w:rsidRPr="00FA7B24" w:rsidRDefault="000430CB" w:rsidP="00BA3D22">
            <w:pPr>
              <w:tabs>
                <w:tab w:val="left" w:pos="1219"/>
              </w:tabs>
              <w:jc w:val="both"/>
              <w:rPr>
                <w:rFonts w:ascii="Arial" w:hAnsi="Arial" w:cs="Arial"/>
              </w:rPr>
            </w:pPr>
            <w:r w:rsidRPr="00FA7B24">
              <w:rPr>
                <w:rFonts w:ascii="Arial" w:hAnsi="Arial" w:cs="Arial"/>
              </w:rPr>
              <w:t>г.</w:t>
            </w:r>
            <w:r w:rsidRPr="00FA7B24">
              <w:rPr>
                <w:rFonts w:ascii="Arial" w:hAnsi="Arial" w:cs="Arial"/>
              </w:rPr>
              <w:tab/>
              <w:t>М.П.</w:t>
            </w:r>
          </w:p>
        </w:tc>
      </w:tr>
      <w:tr w:rsidR="000430CB" w:rsidRPr="00FA7B24" w:rsidTr="00BA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34" w:type="dxa"/>
            <w:gridSpan w:val="10"/>
            <w:tcBorders>
              <w:top w:val="nil"/>
              <w:left w:val="single" w:sz="4" w:space="0" w:color="auto"/>
              <w:bottom w:val="single" w:sz="4" w:space="0" w:color="auto"/>
              <w:right w:val="single" w:sz="4" w:space="0" w:color="auto"/>
            </w:tcBorders>
          </w:tcPr>
          <w:p w:rsidR="000430CB" w:rsidRPr="00FA7B24" w:rsidRDefault="000430CB" w:rsidP="00BA3D22">
            <w:pPr>
              <w:jc w:val="both"/>
              <w:rPr>
                <w:rFonts w:ascii="Arial" w:hAnsi="Arial" w:cs="Arial"/>
              </w:rPr>
            </w:pPr>
          </w:p>
        </w:tc>
      </w:tr>
    </w:tbl>
    <w:p w:rsidR="00EF63AB" w:rsidRPr="00FA7B24" w:rsidRDefault="00EF63AB" w:rsidP="00CD56E8">
      <w:pPr>
        <w:rPr>
          <w:rFonts w:ascii="Arial" w:hAnsi="Arial" w:cs="Arial"/>
        </w:rPr>
      </w:pPr>
    </w:p>
    <w:sectPr w:rsidR="00EF63AB" w:rsidRPr="00FA7B24" w:rsidSect="008B5D42">
      <w:pgSz w:w="11906" w:h="16838"/>
      <w:pgMar w:top="1135" w:right="567" w:bottom="454" w:left="1134" w:header="397" w:footer="284"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D22" w:rsidRDefault="00BA3D22">
      <w:r>
        <w:separator/>
      </w:r>
    </w:p>
  </w:endnote>
  <w:endnote w:type="continuationSeparator" w:id="0">
    <w:p w:rsidR="00BA3D22" w:rsidRDefault="00BA3D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D22" w:rsidRDefault="00BA3D22">
      <w:r>
        <w:separator/>
      </w:r>
    </w:p>
  </w:footnote>
  <w:footnote w:type="continuationSeparator" w:id="0">
    <w:p w:rsidR="00BA3D22" w:rsidRDefault="00BA3D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30A57"/>
    <w:multiLevelType w:val="hybridMultilevel"/>
    <w:tmpl w:val="3210D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96996"/>
    <w:multiLevelType w:val="hybridMultilevel"/>
    <w:tmpl w:val="CF0C8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956697"/>
    <w:multiLevelType w:val="hybridMultilevel"/>
    <w:tmpl w:val="DD2685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6323DCB"/>
    <w:multiLevelType w:val="hybridMultilevel"/>
    <w:tmpl w:val="AB8CB382"/>
    <w:lvl w:ilvl="0" w:tplc="101EA462">
      <w:start w:val="1"/>
      <w:numFmt w:val="bullet"/>
      <w:lvlText w:val="-"/>
      <w:lvlJc w:val="left"/>
      <w:pPr>
        <w:tabs>
          <w:tab w:val="num" w:pos="1004"/>
        </w:tabs>
        <w:ind w:left="1004" w:hanging="360"/>
      </w:pPr>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4">
    <w:nsid w:val="4AF565D7"/>
    <w:multiLevelType w:val="hybridMultilevel"/>
    <w:tmpl w:val="8084EFFA"/>
    <w:lvl w:ilvl="0" w:tplc="FFFFFFFF">
      <w:start w:val="6"/>
      <w:numFmt w:val="bullet"/>
      <w:lvlText w:val="-"/>
      <w:lvlJc w:val="left"/>
      <w:pPr>
        <w:tabs>
          <w:tab w:val="num" w:pos="360"/>
        </w:tabs>
        <w:ind w:left="360" w:hanging="360"/>
      </w:pPr>
      <w:rPr>
        <w:rFonts w:ascii="Times New Roman" w:eastAsia="Times New Roman" w:hAnsi="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1CC"/>
    <w:rsid w:val="00005317"/>
    <w:rsid w:val="0001664C"/>
    <w:rsid w:val="000311CC"/>
    <w:rsid w:val="00035366"/>
    <w:rsid w:val="000366FC"/>
    <w:rsid w:val="000430CB"/>
    <w:rsid w:val="000A4BE7"/>
    <w:rsid w:val="000B393E"/>
    <w:rsid w:val="000B69A4"/>
    <w:rsid w:val="000C3316"/>
    <w:rsid w:val="000C7140"/>
    <w:rsid w:val="000D6D69"/>
    <w:rsid w:val="000F057E"/>
    <w:rsid w:val="000F164A"/>
    <w:rsid w:val="000F1FD4"/>
    <w:rsid w:val="000F51EF"/>
    <w:rsid w:val="000F5FFB"/>
    <w:rsid w:val="001471EE"/>
    <w:rsid w:val="00150611"/>
    <w:rsid w:val="00150C94"/>
    <w:rsid w:val="00157739"/>
    <w:rsid w:val="00183922"/>
    <w:rsid w:val="0019408D"/>
    <w:rsid w:val="00194C9B"/>
    <w:rsid w:val="001A044E"/>
    <w:rsid w:val="001A0D4D"/>
    <w:rsid w:val="001B1544"/>
    <w:rsid w:val="001B4FE8"/>
    <w:rsid w:val="001C466B"/>
    <w:rsid w:val="001D1607"/>
    <w:rsid w:val="001E041C"/>
    <w:rsid w:val="001E4644"/>
    <w:rsid w:val="001E4A75"/>
    <w:rsid w:val="00205E7B"/>
    <w:rsid w:val="00206425"/>
    <w:rsid w:val="0021533E"/>
    <w:rsid w:val="002203B1"/>
    <w:rsid w:val="00222751"/>
    <w:rsid w:val="002314B9"/>
    <w:rsid w:val="00231C0A"/>
    <w:rsid w:val="00257FE0"/>
    <w:rsid w:val="00272740"/>
    <w:rsid w:val="002A0F05"/>
    <w:rsid w:val="002A19B2"/>
    <w:rsid w:val="002C3326"/>
    <w:rsid w:val="002C4145"/>
    <w:rsid w:val="002D4E35"/>
    <w:rsid w:val="002F6E3E"/>
    <w:rsid w:val="00300E9A"/>
    <w:rsid w:val="00306E88"/>
    <w:rsid w:val="003235CA"/>
    <w:rsid w:val="003268E9"/>
    <w:rsid w:val="00326921"/>
    <w:rsid w:val="00344E63"/>
    <w:rsid w:val="00347AA5"/>
    <w:rsid w:val="00351B19"/>
    <w:rsid w:val="003701FA"/>
    <w:rsid w:val="00373DEF"/>
    <w:rsid w:val="0037402E"/>
    <w:rsid w:val="003B1EB9"/>
    <w:rsid w:val="003C5AAD"/>
    <w:rsid w:val="003D178A"/>
    <w:rsid w:val="003D1B41"/>
    <w:rsid w:val="003D75B8"/>
    <w:rsid w:val="003E32C2"/>
    <w:rsid w:val="003E561E"/>
    <w:rsid w:val="003F7217"/>
    <w:rsid w:val="00431229"/>
    <w:rsid w:val="004823E9"/>
    <w:rsid w:val="004E7D90"/>
    <w:rsid w:val="004F0BDA"/>
    <w:rsid w:val="004F623F"/>
    <w:rsid w:val="00517303"/>
    <w:rsid w:val="00521446"/>
    <w:rsid w:val="0052614B"/>
    <w:rsid w:val="00540394"/>
    <w:rsid w:val="00542A21"/>
    <w:rsid w:val="00546091"/>
    <w:rsid w:val="005515BC"/>
    <w:rsid w:val="00556BC3"/>
    <w:rsid w:val="005709AA"/>
    <w:rsid w:val="00574909"/>
    <w:rsid w:val="00574A4F"/>
    <w:rsid w:val="0057656D"/>
    <w:rsid w:val="00597939"/>
    <w:rsid w:val="005A23A3"/>
    <w:rsid w:val="005A24E1"/>
    <w:rsid w:val="005A5E5A"/>
    <w:rsid w:val="005B4A43"/>
    <w:rsid w:val="005B7866"/>
    <w:rsid w:val="005D5DC9"/>
    <w:rsid w:val="005F1876"/>
    <w:rsid w:val="005F1D4D"/>
    <w:rsid w:val="005F26BA"/>
    <w:rsid w:val="005F70A0"/>
    <w:rsid w:val="00602369"/>
    <w:rsid w:val="00605FD3"/>
    <w:rsid w:val="006145DA"/>
    <w:rsid w:val="00644F9E"/>
    <w:rsid w:val="006504FE"/>
    <w:rsid w:val="00651822"/>
    <w:rsid w:val="006561B1"/>
    <w:rsid w:val="006775AB"/>
    <w:rsid w:val="006851B0"/>
    <w:rsid w:val="006877F1"/>
    <w:rsid w:val="00697794"/>
    <w:rsid w:val="006A514E"/>
    <w:rsid w:val="006C0BD7"/>
    <w:rsid w:val="006D0D00"/>
    <w:rsid w:val="006D1643"/>
    <w:rsid w:val="006D5160"/>
    <w:rsid w:val="006D71F2"/>
    <w:rsid w:val="006E0469"/>
    <w:rsid w:val="006E54AA"/>
    <w:rsid w:val="006E576B"/>
    <w:rsid w:val="006F65AA"/>
    <w:rsid w:val="0070280C"/>
    <w:rsid w:val="007209B1"/>
    <w:rsid w:val="00720B6F"/>
    <w:rsid w:val="00721802"/>
    <w:rsid w:val="00731770"/>
    <w:rsid w:val="00733445"/>
    <w:rsid w:val="0073697F"/>
    <w:rsid w:val="00743858"/>
    <w:rsid w:val="00743AA4"/>
    <w:rsid w:val="00774952"/>
    <w:rsid w:val="00776E25"/>
    <w:rsid w:val="00780D7B"/>
    <w:rsid w:val="00791743"/>
    <w:rsid w:val="00795057"/>
    <w:rsid w:val="007A39B2"/>
    <w:rsid w:val="007B0305"/>
    <w:rsid w:val="007B0E91"/>
    <w:rsid w:val="007D6566"/>
    <w:rsid w:val="007E0481"/>
    <w:rsid w:val="007E4F13"/>
    <w:rsid w:val="007F4750"/>
    <w:rsid w:val="00801692"/>
    <w:rsid w:val="0080345E"/>
    <w:rsid w:val="00803702"/>
    <w:rsid w:val="00806561"/>
    <w:rsid w:val="00806D0C"/>
    <w:rsid w:val="00811C49"/>
    <w:rsid w:val="008164AE"/>
    <w:rsid w:val="0081703F"/>
    <w:rsid w:val="0083335B"/>
    <w:rsid w:val="008440A5"/>
    <w:rsid w:val="00847272"/>
    <w:rsid w:val="00851DC1"/>
    <w:rsid w:val="0085746B"/>
    <w:rsid w:val="0086632D"/>
    <w:rsid w:val="00880EE5"/>
    <w:rsid w:val="00895D15"/>
    <w:rsid w:val="008B51C1"/>
    <w:rsid w:val="008B5D3C"/>
    <w:rsid w:val="008B5D42"/>
    <w:rsid w:val="008C5266"/>
    <w:rsid w:val="008D0C02"/>
    <w:rsid w:val="008D737D"/>
    <w:rsid w:val="008D771C"/>
    <w:rsid w:val="008E1A44"/>
    <w:rsid w:val="008F2A7B"/>
    <w:rsid w:val="008F7A9D"/>
    <w:rsid w:val="008F7C35"/>
    <w:rsid w:val="00901FB2"/>
    <w:rsid w:val="00916392"/>
    <w:rsid w:val="00916B76"/>
    <w:rsid w:val="00916BAD"/>
    <w:rsid w:val="00921735"/>
    <w:rsid w:val="00932E7F"/>
    <w:rsid w:val="00940AFD"/>
    <w:rsid w:val="00956548"/>
    <w:rsid w:val="00961043"/>
    <w:rsid w:val="0096356C"/>
    <w:rsid w:val="009751AE"/>
    <w:rsid w:val="00987E8C"/>
    <w:rsid w:val="00992FC0"/>
    <w:rsid w:val="00994F4C"/>
    <w:rsid w:val="009B0F2E"/>
    <w:rsid w:val="009C32C4"/>
    <w:rsid w:val="009C5902"/>
    <w:rsid w:val="009D24E6"/>
    <w:rsid w:val="009D7646"/>
    <w:rsid w:val="009E4046"/>
    <w:rsid w:val="009F1D1E"/>
    <w:rsid w:val="009F4513"/>
    <w:rsid w:val="00A11E5D"/>
    <w:rsid w:val="00A12365"/>
    <w:rsid w:val="00A437B0"/>
    <w:rsid w:val="00A5603E"/>
    <w:rsid w:val="00A57AB4"/>
    <w:rsid w:val="00A57F7B"/>
    <w:rsid w:val="00A6155E"/>
    <w:rsid w:val="00A662A8"/>
    <w:rsid w:val="00A664A4"/>
    <w:rsid w:val="00A9035E"/>
    <w:rsid w:val="00A937EC"/>
    <w:rsid w:val="00AA36BD"/>
    <w:rsid w:val="00AA3D99"/>
    <w:rsid w:val="00AA5637"/>
    <w:rsid w:val="00AB7136"/>
    <w:rsid w:val="00AC7B31"/>
    <w:rsid w:val="00AD6F75"/>
    <w:rsid w:val="00AF6D77"/>
    <w:rsid w:val="00B00E25"/>
    <w:rsid w:val="00B133DE"/>
    <w:rsid w:val="00B144EB"/>
    <w:rsid w:val="00B245D8"/>
    <w:rsid w:val="00B263D5"/>
    <w:rsid w:val="00B3066A"/>
    <w:rsid w:val="00B37978"/>
    <w:rsid w:val="00B53CDD"/>
    <w:rsid w:val="00B56F38"/>
    <w:rsid w:val="00B60AC9"/>
    <w:rsid w:val="00B7441E"/>
    <w:rsid w:val="00B90096"/>
    <w:rsid w:val="00B91A67"/>
    <w:rsid w:val="00BA1D60"/>
    <w:rsid w:val="00BA3D22"/>
    <w:rsid w:val="00BB0A07"/>
    <w:rsid w:val="00BC09D3"/>
    <w:rsid w:val="00BC338A"/>
    <w:rsid w:val="00BE798B"/>
    <w:rsid w:val="00BF09AE"/>
    <w:rsid w:val="00BF6835"/>
    <w:rsid w:val="00C150C1"/>
    <w:rsid w:val="00C2551D"/>
    <w:rsid w:val="00C43D26"/>
    <w:rsid w:val="00C46A8E"/>
    <w:rsid w:val="00C65A8F"/>
    <w:rsid w:val="00CA088C"/>
    <w:rsid w:val="00CA1B24"/>
    <w:rsid w:val="00CB21A2"/>
    <w:rsid w:val="00CB4AA5"/>
    <w:rsid w:val="00CC067C"/>
    <w:rsid w:val="00CD56E8"/>
    <w:rsid w:val="00CE73F3"/>
    <w:rsid w:val="00CF198B"/>
    <w:rsid w:val="00D040F2"/>
    <w:rsid w:val="00D04814"/>
    <w:rsid w:val="00D104BF"/>
    <w:rsid w:val="00D10EA1"/>
    <w:rsid w:val="00D12DFB"/>
    <w:rsid w:val="00D2135D"/>
    <w:rsid w:val="00D70546"/>
    <w:rsid w:val="00D73F2D"/>
    <w:rsid w:val="00D91B4A"/>
    <w:rsid w:val="00D96E97"/>
    <w:rsid w:val="00D97BCF"/>
    <w:rsid w:val="00DC1263"/>
    <w:rsid w:val="00DC223B"/>
    <w:rsid w:val="00E2677A"/>
    <w:rsid w:val="00E35A55"/>
    <w:rsid w:val="00E416E4"/>
    <w:rsid w:val="00E4520C"/>
    <w:rsid w:val="00E734B5"/>
    <w:rsid w:val="00E763B9"/>
    <w:rsid w:val="00E81128"/>
    <w:rsid w:val="00E8661D"/>
    <w:rsid w:val="00E8676C"/>
    <w:rsid w:val="00E92BD3"/>
    <w:rsid w:val="00E959C5"/>
    <w:rsid w:val="00EA374F"/>
    <w:rsid w:val="00EC0118"/>
    <w:rsid w:val="00EC0C63"/>
    <w:rsid w:val="00EE4363"/>
    <w:rsid w:val="00EF63AB"/>
    <w:rsid w:val="00F1148F"/>
    <w:rsid w:val="00F3476E"/>
    <w:rsid w:val="00F47DAB"/>
    <w:rsid w:val="00F50ABF"/>
    <w:rsid w:val="00F54431"/>
    <w:rsid w:val="00F54874"/>
    <w:rsid w:val="00F57A56"/>
    <w:rsid w:val="00F61AEA"/>
    <w:rsid w:val="00F67F06"/>
    <w:rsid w:val="00F82665"/>
    <w:rsid w:val="00F9040C"/>
    <w:rsid w:val="00F90A5D"/>
    <w:rsid w:val="00FA7B24"/>
    <w:rsid w:val="00FB4EE1"/>
    <w:rsid w:val="00FB5F0C"/>
    <w:rsid w:val="00FB6383"/>
    <w:rsid w:val="00FC6D8A"/>
    <w:rsid w:val="00FD19A8"/>
    <w:rsid w:val="00FD4C15"/>
    <w:rsid w:val="00FF2A70"/>
    <w:rsid w:val="00FF31D5"/>
    <w:rsid w:val="00FF47CA"/>
    <w:rsid w:val="00FF74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74F"/>
    <w:pPr>
      <w:autoSpaceDE w:val="0"/>
      <w:autoSpaceDN w:val="0"/>
    </w:pPr>
  </w:style>
  <w:style w:type="paragraph" w:styleId="1">
    <w:name w:val="heading 1"/>
    <w:basedOn w:val="a"/>
    <w:next w:val="a"/>
    <w:link w:val="10"/>
    <w:uiPriority w:val="99"/>
    <w:qFormat/>
    <w:rsid w:val="00EA374F"/>
    <w:pPr>
      <w:keepNext/>
      <w:jc w:val="both"/>
      <w:outlineLvl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74F"/>
    <w:rPr>
      <w:rFonts w:ascii="Cambria" w:eastAsia="Times New Roman" w:hAnsi="Cambria" w:cs="Times New Roman"/>
      <w:b/>
      <w:bCs/>
      <w:kern w:val="32"/>
      <w:sz w:val="32"/>
      <w:szCs w:val="32"/>
    </w:rPr>
  </w:style>
  <w:style w:type="paragraph" w:styleId="a3">
    <w:name w:val="Balloon Text"/>
    <w:basedOn w:val="a"/>
    <w:link w:val="a4"/>
    <w:uiPriority w:val="99"/>
    <w:semiHidden/>
    <w:rsid w:val="000311CC"/>
    <w:rPr>
      <w:rFonts w:ascii="Tahoma" w:hAnsi="Tahoma" w:cs="Tahoma"/>
      <w:sz w:val="16"/>
      <w:szCs w:val="16"/>
    </w:rPr>
  </w:style>
  <w:style w:type="character" w:customStyle="1" w:styleId="a4">
    <w:name w:val="Текст выноски Знак"/>
    <w:basedOn w:val="a0"/>
    <w:link w:val="a3"/>
    <w:uiPriority w:val="99"/>
    <w:semiHidden/>
    <w:rsid w:val="00EA374F"/>
    <w:rPr>
      <w:rFonts w:ascii="Tahoma" w:hAnsi="Tahoma" w:cs="Tahoma"/>
      <w:sz w:val="16"/>
      <w:szCs w:val="16"/>
    </w:rPr>
  </w:style>
  <w:style w:type="paragraph" w:customStyle="1" w:styleId="ConsNormal">
    <w:name w:val="ConsNormal"/>
    <w:uiPriority w:val="99"/>
    <w:rsid w:val="00EA374F"/>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rsid w:val="00EA374F"/>
    <w:pPr>
      <w:widowControl w:val="0"/>
      <w:autoSpaceDE w:val="0"/>
      <w:autoSpaceDN w:val="0"/>
      <w:jc w:val="both"/>
    </w:pPr>
    <w:rPr>
      <w:rFonts w:ascii="Courier New" w:hAnsi="Courier New" w:cs="Courier New"/>
    </w:rPr>
  </w:style>
  <w:style w:type="paragraph" w:styleId="a5">
    <w:name w:val="header"/>
    <w:basedOn w:val="a"/>
    <w:link w:val="a6"/>
    <w:uiPriority w:val="99"/>
    <w:rsid w:val="00EA374F"/>
    <w:pPr>
      <w:tabs>
        <w:tab w:val="center" w:pos="4153"/>
        <w:tab w:val="right" w:pos="8306"/>
      </w:tabs>
    </w:pPr>
  </w:style>
  <w:style w:type="character" w:customStyle="1" w:styleId="a6">
    <w:name w:val="Верхний колонтитул Знак"/>
    <w:basedOn w:val="a0"/>
    <w:link w:val="a5"/>
    <w:uiPriority w:val="99"/>
    <w:semiHidden/>
    <w:rsid w:val="00EA374F"/>
    <w:rPr>
      <w:sz w:val="20"/>
      <w:szCs w:val="20"/>
    </w:rPr>
  </w:style>
  <w:style w:type="paragraph" w:styleId="a7">
    <w:name w:val="footer"/>
    <w:basedOn w:val="a"/>
    <w:link w:val="a8"/>
    <w:uiPriority w:val="99"/>
    <w:rsid w:val="00EA374F"/>
    <w:pPr>
      <w:tabs>
        <w:tab w:val="center" w:pos="4153"/>
        <w:tab w:val="right" w:pos="8306"/>
      </w:tabs>
    </w:pPr>
  </w:style>
  <w:style w:type="character" w:customStyle="1" w:styleId="a8">
    <w:name w:val="Нижний колонтитул Знак"/>
    <w:basedOn w:val="a0"/>
    <w:link w:val="a7"/>
    <w:uiPriority w:val="99"/>
    <w:semiHidden/>
    <w:rsid w:val="00EA374F"/>
    <w:rPr>
      <w:sz w:val="20"/>
      <w:szCs w:val="20"/>
    </w:rPr>
  </w:style>
  <w:style w:type="paragraph" w:styleId="a9">
    <w:name w:val="Body Text"/>
    <w:basedOn w:val="a"/>
    <w:link w:val="aa"/>
    <w:uiPriority w:val="99"/>
    <w:rsid w:val="00EA374F"/>
    <w:pPr>
      <w:spacing w:after="240"/>
      <w:jc w:val="center"/>
    </w:pPr>
    <w:rPr>
      <w:rFonts w:ascii="Arial" w:hAnsi="Arial" w:cs="Arial"/>
      <w:b/>
      <w:bCs/>
      <w:sz w:val="24"/>
      <w:szCs w:val="24"/>
    </w:rPr>
  </w:style>
  <w:style w:type="character" w:customStyle="1" w:styleId="aa">
    <w:name w:val="Основной текст Знак"/>
    <w:basedOn w:val="a0"/>
    <w:link w:val="a9"/>
    <w:uiPriority w:val="99"/>
    <w:semiHidden/>
    <w:rsid w:val="00EA374F"/>
    <w:rPr>
      <w:sz w:val="20"/>
      <w:szCs w:val="20"/>
    </w:rPr>
  </w:style>
  <w:style w:type="character" w:customStyle="1" w:styleId="SUBST">
    <w:name w:val="__SUBST"/>
    <w:uiPriority w:val="99"/>
    <w:rsid w:val="00EA374F"/>
    <w:rPr>
      <w:b/>
      <w:i/>
      <w:sz w:val="22"/>
    </w:rPr>
  </w:style>
  <w:style w:type="paragraph" w:customStyle="1" w:styleId="6">
    <w:name w:val="Стиль6"/>
    <w:basedOn w:val="a"/>
    <w:uiPriority w:val="99"/>
    <w:rsid w:val="00FF47CA"/>
    <w:pPr>
      <w:widowControl w:val="0"/>
      <w:adjustRightInd w:val="0"/>
      <w:spacing w:before="20" w:after="40"/>
      <w:ind w:left="200"/>
      <w:jc w:val="center"/>
      <w:outlineLvl w:val="0"/>
    </w:pPr>
    <w:rPr>
      <w:rFonts w:ascii="Arial" w:hAnsi="Arial" w:cs="Arial"/>
      <w:b/>
      <w:bCs/>
      <w:sz w:val="28"/>
      <w:szCs w:val="28"/>
    </w:rPr>
  </w:style>
  <w:style w:type="character" w:styleId="ab">
    <w:name w:val="Hyperlink"/>
    <w:basedOn w:val="a0"/>
    <w:uiPriority w:val="99"/>
    <w:rsid w:val="00721802"/>
    <w:rPr>
      <w:rFonts w:cs="Times New Roman"/>
      <w:color w:val="0000FF"/>
      <w:u w:val="single"/>
    </w:rPr>
  </w:style>
  <w:style w:type="paragraph" w:customStyle="1" w:styleId="11">
    <w:name w:val="Знак1"/>
    <w:basedOn w:val="a"/>
    <w:next w:val="a"/>
    <w:uiPriority w:val="99"/>
    <w:rsid w:val="0085746B"/>
    <w:pPr>
      <w:keepNext/>
      <w:widowControl w:val="0"/>
      <w:adjustRightInd w:val="0"/>
      <w:spacing w:after="160" w:line="240" w:lineRule="exact"/>
      <w:jc w:val="right"/>
    </w:pPr>
    <w:rPr>
      <w:lang w:val="en-GB" w:eastAsia="en-US"/>
    </w:rPr>
  </w:style>
  <w:style w:type="paragraph" w:styleId="2">
    <w:name w:val="Body Text 2"/>
    <w:basedOn w:val="a"/>
    <w:link w:val="20"/>
    <w:uiPriority w:val="99"/>
    <w:rsid w:val="003E32C2"/>
    <w:pPr>
      <w:spacing w:after="120" w:line="480" w:lineRule="auto"/>
    </w:pPr>
  </w:style>
  <w:style w:type="character" w:customStyle="1" w:styleId="20">
    <w:name w:val="Основной текст 2 Знак"/>
    <w:basedOn w:val="a0"/>
    <w:link w:val="2"/>
    <w:uiPriority w:val="99"/>
    <w:semiHidden/>
    <w:rsid w:val="00EA374F"/>
    <w:rPr>
      <w:sz w:val="20"/>
      <w:szCs w:val="20"/>
    </w:rPr>
  </w:style>
  <w:style w:type="paragraph" w:customStyle="1" w:styleId="Normal1">
    <w:name w:val="Normal1"/>
    <w:uiPriority w:val="99"/>
    <w:rsid w:val="000D6D69"/>
    <w:pPr>
      <w:widowControl w:val="0"/>
      <w:autoSpaceDE w:val="0"/>
      <w:autoSpaceDN w:val="0"/>
      <w:spacing w:before="20" w:after="40"/>
    </w:pPr>
    <w:rPr>
      <w:sz w:val="22"/>
      <w:szCs w:val="22"/>
    </w:rPr>
  </w:style>
  <w:style w:type="paragraph" w:customStyle="1" w:styleId="BodyText21">
    <w:name w:val="Body Text 21"/>
    <w:basedOn w:val="a"/>
    <w:uiPriority w:val="99"/>
    <w:rsid w:val="000D6D69"/>
    <w:pPr>
      <w:widowControl w:val="0"/>
      <w:autoSpaceDE/>
      <w:autoSpaceDN/>
      <w:spacing w:before="20" w:after="40"/>
    </w:pPr>
    <w:rPr>
      <w:b/>
      <w:bCs/>
      <w:i/>
      <w:iCs/>
      <w:sz w:val="22"/>
      <w:szCs w:val="22"/>
    </w:rPr>
  </w:style>
  <w:style w:type="paragraph" w:customStyle="1" w:styleId="BodyTextbt">
    <w:name w:val="Body Text.bt"/>
    <w:basedOn w:val="a"/>
    <w:uiPriority w:val="99"/>
    <w:rsid w:val="000D6D69"/>
    <w:pPr>
      <w:jc w:val="both"/>
    </w:pPr>
    <w:rPr>
      <w:b/>
      <w:bCs/>
      <w:i/>
      <w:iCs/>
      <w:sz w:val="22"/>
      <w:szCs w:val="22"/>
    </w:rPr>
  </w:style>
  <w:style w:type="paragraph" w:styleId="21">
    <w:name w:val="Body Text Indent 2"/>
    <w:basedOn w:val="a"/>
    <w:link w:val="22"/>
    <w:uiPriority w:val="99"/>
    <w:rsid w:val="009D24E6"/>
    <w:pPr>
      <w:spacing w:after="120" w:line="480" w:lineRule="auto"/>
      <w:ind w:left="283"/>
    </w:pPr>
  </w:style>
  <w:style w:type="character" w:customStyle="1" w:styleId="22">
    <w:name w:val="Основной текст с отступом 2 Знак"/>
    <w:basedOn w:val="a0"/>
    <w:link w:val="21"/>
    <w:uiPriority w:val="99"/>
    <w:semiHidden/>
    <w:rsid w:val="00EA374F"/>
    <w:rPr>
      <w:sz w:val="20"/>
      <w:szCs w:val="20"/>
    </w:rPr>
  </w:style>
  <w:style w:type="paragraph" w:customStyle="1" w:styleId="CharCharCharCharChar">
    <w:name w:val="Знак Знак Char Char Char Char Char Знак"/>
    <w:basedOn w:val="a"/>
    <w:uiPriority w:val="99"/>
    <w:rsid w:val="009D24E6"/>
    <w:pPr>
      <w:widowControl w:val="0"/>
      <w:autoSpaceDE/>
      <w:autoSpaceDN/>
      <w:adjustRightInd w:val="0"/>
      <w:spacing w:after="160" w:line="240" w:lineRule="exact"/>
      <w:jc w:val="right"/>
    </w:pPr>
    <w:rPr>
      <w:lang w:val="en-GB" w:eastAsia="en-US"/>
    </w:rPr>
  </w:style>
  <w:style w:type="character" w:styleId="ac">
    <w:name w:val="annotation reference"/>
    <w:basedOn w:val="a0"/>
    <w:uiPriority w:val="99"/>
    <w:semiHidden/>
    <w:unhideWhenUsed/>
    <w:rsid w:val="008D737D"/>
    <w:rPr>
      <w:sz w:val="16"/>
      <w:szCs w:val="16"/>
    </w:rPr>
  </w:style>
  <w:style w:type="paragraph" w:styleId="ad">
    <w:name w:val="annotation text"/>
    <w:basedOn w:val="a"/>
    <w:link w:val="ae"/>
    <w:uiPriority w:val="99"/>
    <w:semiHidden/>
    <w:unhideWhenUsed/>
    <w:rsid w:val="008D737D"/>
  </w:style>
  <w:style w:type="character" w:customStyle="1" w:styleId="ae">
    <w:name w:val="Текст примечания Знак"/>
    <w:basedOn w:val="a0"/>
    <w:link w:val="ad"/>
    <w:uiPriority w:val="99"/>
    <w:semiHidden/>
    <w:rsid w:val="008D737D"/>
  </w:style>
  <w:style w:type="paragraph" w:styleId="af">
    <w:name w:val="annotation subject"/>
    <w:basedOn w:val="ad"/>
    <w:next w:val="ad"/>
    <w:link w:val="af0"/>
    <w:uiPriority w:val="99"/>
    <w:semiHidden/>
    <w:unhideWhenUsed/>
    <w:rsid w:val="008D737D"/>
    <w:rPr>
      <w:b/>
      <w:bCs/>
    </w:rPr>
  </w:style>
  <w:style w:type="character" w:customStyle="1" w:styleId="af0">
    <w:name w:val="Тема примечания Знак"/>
    <w:basedOn w:val="ae"/>
    <w:link w:val="af"/>
    <w:uiPriority w:val="99"/>
    <w:semiHidden/>
    <w:rsid w:val="008D73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ate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1272</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Приложение 16</vt:lpstr>
    </vt:vector>
  </TitlesOfParts>
  <Company> </Company>
  <LinksUpToDate>false</LinksUpToDate>
  <CharactersWithSpaces>10002</CharactersWithSpaces>
  <SharedDoc>false</SharedDoc>
  <HLinks>
    <vt:vector size="12" baseType="variant">
      <vt:variant>
        <vt:i4>7274618</vt:i4>
      </vt:variant>
      <vt:variant>
        <vt:i4>3</vt:i4>
      </vt:variant>
      <vt:variant>
        <vt:i4>0</vt:i4>
      </vt:variant>
      <vt:variant>
        <vt:i4>5</vt:i4>
      </vt:variant>
      <vt:variant>
        <vt:lpwstr>http://www.e-disclosure.ru/</vt:lpwstr>
      </vt:variant>
      <vt:variant>
        <vt:lpwstr/>
      </vt:variant>
      <vt:variant>
        <vt:i4>655447</vt:i4>
      </vt:variant>
      <vt:variant>
        <vt:i4>0</vt:i4>
      </vt:variant>
      <vt:variant>
        <vt:i4>0</vt:i4>
      </vt:variant>
      <vt:variant>
        <vt:i4>5</vt:i4>
      </vt:variant>
      <vt:variant>
        <vt:lpwstr>http://www.disclosure.ru/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16</dc:title>
  <dc:subject/>
  <dc:creator>Prof-SlejovaNA</dc:creator>
  <cp:keywords/>
  <dc:description/>
  <cp:lastModifiedBy>Your User Name</cp:lastModifiedBy>
  <cp:revision>4</cp:revision>
  <cp:lastPrinted>2007-08-14T06:09:00Z</cp:lastPrinted>
  <dcterms:created xsi:type="dcterms:W3CDTF">2012-10-12T05:43:00Z</dcterms:created>
  <dcterms:modified xsi:type="dcterms:W3CDTF">2012-10-12T06:59:00Z</dcterms:modified>
</cp:coreProperties>
</file>