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D8" w:rsidRPr="0066769F" w:rsidRDefault="00B454D8" w:rsidP="00C52E83">
      <w:pPr>
        <w:jc w:val="center"/>
        <w:rPr>
          <w:b/>
          <w:bCs/>
        </w:rPr>
      </w:pPr>
      <w:r w:rsidRPr="0066769F">
        <w:rPr>
          <w:b/>
          <w:bCs/>
        </w:rPr>
        <w:t>Сообщение о существенном факте</w:t>
      </w:r>
    </w:p>
    <w:p w:rsidR="00F468C9" w:rsidRDefault="00A425BD" w:rsidP="00C52E83">
      <w:pPr>
        <w:jc w:val="center"/>
        <w:rPr>
          <w:b/>
          <w:bCs/>
        </w:rPr>
      </w:pPr>
      <w:r w:rsidRPr="0066769F">
        <w:rPr>
          <w:b/>
          <w:bCs/>
        </w:rPr>
        <w:t>«</w:t>
      </w:r>
      <w:r w:rsidR="00843B3B" w:rsidRPr="0066769F">
        <w:rPr>
          <w:b/>
          <w:bCs/>
        </w:rPr>
        <w:t xml:space="preserve">Сведения об этапах процедуры эмиссии </w:t>
      </w:r>
      <w:r w:rsidR="00637F3F">
        <w:rPr>
          <w:b/>
          <w:bCs/>
        </w:rPr>
        <w:t xml:space="preserve">эмиссионных </w:t>
      </w:r>
      <w:r w:rsidR="00843B3B" w:rsidRPr="0066769F">
        <w:rPr>
          <w:b/>
          <w:bCs/>
        </w:rPr>
        <w:t>ценных бумаг</w:t>
      </w:r>
      <w:r w:rsidRPr="0066769F">
        <w:rPr>
          <w:b/>
          <w:bCs/>
        </w:rPr>
        <w:t>»</w:t>
      </w:r>
    </w:p>
    <w:p w:rsidR="00C338A8" w:rsidRPr="0066769F" w:rsidRDefault="00C338A8" w:rsidP="00C52E8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694"/>
        <w:gridCol w:w="1290"/>
        <w:gridCol w:w="851"/>
        <w:gridCol w:w="2835"/>
        <w:gridCol w:w="142"/>
      </w:tblGrid>
      <w:tr w:rsidR="002F38FE" w:rsidRPr="0066769F">
        <w:tc>
          <w:tcPr>
            <w:tcW w:w="10234" w:type="dxa"/>
            <w:gridSpan w:val="12"/>
          </w:tcPr>
          <w:p w:rsidR="002F38FE" w:rsidRPr="0066769F" w:rsidRDefault="002F38FE">
            <w:pPr>
              <w:jc w:val="center"/>
            </w:pPr>
            <w:r w:rsidRPr="0066769F">
              <w:t>1. Общие сведения</w:t>
            </w:r>
          </w:p>
        </w:tc>
      </w:tr>
      <w:tr w:rsidR="00F73EE6" w:rsidRPr="0066769F">
        <w:tc>
          <w:tcPr>
            <w:tcW w:w="5117" w:type="dxa"/>
            <w:gridSpan w:val="8"/>
          </w:tcPr>
          <w:p w:rsidR="00F73EE6" w:rsidRPr="0066769F" w:rsidRDefault="00F73EE6">
            <w:pPr>
              <w:ind w:left="85" w:right="85"/>
              <w:jc w:val="both"/>
            </w:pPr>
            <w:r w:rsidRPr="0066769F">
              <w:t>1.1. Полное фирменное наименование эмитента (для некоммерческой организации – наименование)</w:t>
            </w:r>
          </w:p>
        </w:tc>
        <w:tc>
          <w:tcPr>
            <w:tcW w:w="5117" w:type="dxa"/>
            <w:gridSpan w:val="4"/>
          </w:tcPr>
          <w:p w:rsidR="00F73EE6" w:rsidRPr="0066769F" w:rsidRDefault="00F73EE6" w:rsidP="00265B5A">
            <w:pPr>
              <w:ind w:left="85" w:right="85"/>
              <w:jc w:val="both"/>
            </w:pPr>
            <w:r w:rsidRPr="0066769F">
              <w:t xml:space="preserve">Открытое акционерное общество </w:t>
            </w:r>
          </w:p>
          <w:p w:rsidR="00F73EE6" w:rsidRPr="0066769F" w:rsidRDefault="00F73EE6" w:rsidP="00265B5A">
            <w:pPr>
              <w:ind w:left="85" w:right="85"/>
              <w:jc w:val="both"/>
            </w:pPr>
            <w:r w:rsidRPr="0066769F">
              <w:t>«Якутская топливно-энергетическая компания»</w:t>
            </w:r>
          </w:p>
        </w:tc>
      </w:tr>
      <w:tr w:rsidR="00F73EE6" w:rsidRPr="0066769F">
        <w:tc>
          <w:tcPr>
            <w:tcW w:w="5117" w:type="dxa"/>
            <w:gridSpan w:val="8"/>
          </w:tcPr>
          <w:p w:rsidR="00F73EE6" w:rsidRPr="0066769F" w:rsidRDefault="00F73EE6">
            <w:pPr>
              <w:ind w:left="85" w:right="85"/>
              <w:jc w:val="both"/>
            </w:pPr>
            <w:r w:rsidRPr="0066769F">
              <w:t>1.2. Сокращенное фирменное наименование эмитента</w:t>
            </w:r>
          </w:p>
        </w:tc>
        <w:tc>
          <w:tcPr>
            <w:tcW w:w="5117" w:type="dxa"/>
            <w:gridSpan w:val="4"/>
          </w:tcPr>
          <w:p w:rsidR="00F73EE6" w:rsidRPr="0066769F" w:rsidRDefault="00F73EE6" w:rsidP="00265B5A">
            <w:pPr>
              <w:ind w:left="85" w:right="85"/>
              <w:jc w:val="both"/>
            </w:pPr>
            <w:r w:rsidRPr="0066769F">
              <w:t>ОАО «ЯТЭК»</w:t>
            </w:r>
          </w:p>
        </w:tc>
      </w:tr>
      <w:tr w:rsidR="00F73EE6" w:rsidRPr="0066769F">
        <w:tc>
          <w:tcPr>
            <w:tcW w:w="5117" w:type="dxa"/>
            <w:gridSpan w:val="8"/>
          </w:tcPr>
          <w:p w:rsidR="00F73EE6" w:rsidRPr="0066769F" w:rsidRDefault="00F73EE6">
            <w:pPr>
              <w:ind w:left="85" w:right="85"/>
              <w:jc w:val="both"/>
            </w:pPr>
            <w:r w:rsidRPr="0066769F">
              <w:t>1.3. Место нахождения эмитента</w:t>
            </w:r>
          </w:p>
        </w:tc>
        <w:tc>
          <w:tcPr>
            <w:tcW w:w="5117" w:type="dxa"/>
            <w:gridSpan w:val="4"/>
          </w:tcPr>
          <w:p w:rsidR="00F73EE6" w:rsidRPr="0066769F" w:rsidRDefault="00F73EE6" w:rsidP="00265B5A">
            <w:pPr>
              <w:ind w:left="85" w:right="85"/>
              <w:jc w:val="both"/>
            </w:pPr>
            <w:r w:rsidRPr="0066769F">
              <w:t>678214, Республика Саха (Якутия), Вилюйский улус, п. Кысыл-Сыр, ул. Ленина, 4</w:t>
            </w:r>
          </w:p>
        </w:tc>
      </w:tr>
      <w:tr w:rsidR="00F73EE6" w:rsidRPr="0066769F">
        <w:tc>
          <w:tcPr>
            <w:tcW w:w="5117" w:type="dxa"/>
            <w:gridSpan w:val="8"/>
          </w:tcPr>
          <w:p w:rsidR="00F73EE6" w:rsidRPr="0066769F" w:rsidRDefault="00F73EE6">
            <w:pPr>
              <w:ind w:left="85" w:right="85"/>
              <w:jc w:val="both"/>
            </w:pPr>
            <w:r w:rsidRPr="0066769F">
              <w:t>1.4. ОГРН эмитента</w:t>
            </w:r>
          </w:p>
        </w:tc>
        <w:tc>
          <w:tcPr>
            <w:tcW w:w="5117" w:type="dxa"/>
            <w:gridSpan w:val="4"/>
          </w:tcPr>
          <w:p w:rsidR="00F73EE6" w:rsidRPr="0066769F" w:rsidRDefault="00F73EE6" w:rsidP="00265B5A">
            <w:pPr>
              <w:ind w:left="85" w:right="85"/>
              <w:jc w:val="both"/>
            </w:pPr>
            <w:r w:rsidRPr="0066769F">
              <w:t>1021401062187</w:t>
            </w:r>
          </w:p>
        </w:tc>
      </w:tr>
      <w:tr w:rsidR="00F73EE6" w:rsidRPr="0066769F">
        <w:tc>
          <w:tcPr>
            <w:tcW w:w="5117" w:type="dxa"/>
            <w:gridSpan w:val="8"/>
          </w:tcPr>
          <w:p w:rsidR="00F73EE6" w:rsidRPr="0066769F" w:rsidRDefault="00F73EE6">
            <w:pPr>
              <w:ind w:left="85" w:right="85"/>
              <w:jc w:val="both"/>
            </w:pPr>
            <w:r w:rsidRPr="0066769F">
              <w:t>1.5. ИНН эмитента</w:t>
            </w:r>
          </w:p>
        </w:tc>
        <w:tc>
          <w:tcPr>
            <w:tcW w:w="5117" w:type="dxa"/>
            <w:gridSpan w:val="4"/>
          </w:tcPr>
          <w:p w:rsidR="00F73EE6" w:rsidRPr="0066769F" w:rsidRDefault="00F73EE6" w:rsidP="00265B5A">
            <w:pPr>
              <w:ind w:left="85" w:right="85"/>
              <w:jc w:val="both"/>
            </w:pPr>
            <w:r w:rsidRPr="0066769F">
              <w:t>1435032049</w:t>
            </w:r>
          </w:p>
        </w:tc>
      </w:tr>
      <w:tr w:rsidR="00F73EE6" w:rsidRPr="0066769F">
        <w:tc>
          <w:tcPr>
            <w:tcW w:w="5117" w:type="dxa"/>
            <w:gridSpan w:val="8"/>
          </w:tcPr>
          <w:p w:rsidR="00F73EE6" w:rsidRPr="0066769F" w:rsidRDefault="00F73EE6">
            <w:pPr>
              <w:ind w:left="85" w:right="85"/>
              <w:jc w:val="both"/>
            </w:pPr>
            <w:r w:rsidRPr="0066769F">
              <w:t>1.6. Уникальный код эмитента, присвоенный регистрирующим органом</w:t>
            </w:r>
          </w:p>
        </w:tc>
        <w:tc>
          <w:tcPr>
            <w:tcW w:w="5117" w:type="dxa"/>
            <w:gridSpan w:val="4"/>
          </w:tcPr>
          <w:p w:rsidR="00F73EE6" w:rsidRPr="0066769F" w:rsidRDefault="00F73EE6" w:rsidP="00265B5A">
            <w:pPr>
              <w:ind w:left="85" w:right="85"/>
              <w:jc w:val="both"/>
            </w:pPr>
            <w:r w:rsidRPr="0066769F">
              <w:t>20510-F</w:t>
            </w:r>
          </w:p>
        </w:tc>
      </w:tr>
      <w:tr w:rsidR="00F73EE6" w:rsidRPr="0066769F">
        <w:tc>
          <w:tcPr>
            <w:tcW w:w="5117" w:type="dxa"/>
            <w:gridSpan w:val="8"/>
          </w:tcPr>
          <w:p w:rsidR="00F73EE6" w:rsidRPr="0066769F" w:rsidRDefault="00F73EE6">
            <w:pPr>
              <w:ind w:left="85" w:right="85"/>
              <w:jc w:val="both"/>
            </w:pPr>
            <w:r w:rsidRPr="0066769F">
              <w:t>1.7. Адрес страницы в сети Интернет, используемой эмитентом для раскрытия информации</w:t>
            </w:r>
          </w:p>
        </w:tc>
        <w:tc>
          <w:tcPr>
            <w:tcW w:w="5117" w:type="dxa"/>
            <w:gridSpan w:val="4"/>
          </w:tcPr>
          <w:p w:rsidR="00F73EE6" w:rsidRPr="0066769F" w:rsidRDefault="00BF3FFB" w:rsidP="000E1416">
            <w:pPr>
              <w:ind w:left="85" w:right="85"/>
              <w:jc w:val="both"/>
            </w:pPr>
            <w:hyperlink r:id="rId8" w:history="1">
              <w:r w:rsidR="00E80A96" w:rsidRPr="0066769F">
                <w:rPr>
                  <w:rStyle w:val="ac"/>
                </w:rPr>
                <w:t>http://www.yatec.ru</w:t>
              </w:r>
            </w:hyperlink>
          </w:p>
          <w:p w:rsidR="00E80A96" w:rsidRPr="0066769F" w:rsidRDefault="00BF3FFB" w:rsidP="00E80A96">
            <w:pPr>
              <w:ind w:left="85" w:right="85"/>
              <w:jc w:val="both"/>
            </w:pPr>
            <w:hyperlink r:id="rId9" w:history="1">
              <w:r w:rsidR="00E80A96" w:rsidRPr="0066769F">
                <w:rPr>
                  <w:rStyle w:val="ac"/>
                  <w:iCs/>
                </w:rPr>
                <w:t>http://www.e-disclosure.ru/portal/company.aspx?id=4994</w:t>
              </w:r>
            </w:hyperlink>
          </w:p>
        </w:tc>
      </w:tr>
      <w:tr w:rsidR="002F38FE" w:rsidRPr="0066769F">
        <w:tc>
          <w:tcPr>
            <w:tcW w:w="10234" w:type="dxa"/>
            <w:gridSpan w:val="12"/>
          </w:tcPr>
          <w:p w:rsidR="002F38FE" w:rsidRPr="0066769F" w:rsidRDefault="002F38FE">
            <w:pPr>
              <w:jc w:val="center"/>
            </w:pPr>
            <w:r w:rsidRPr="0066769F">
              <w:t>2. Содержание сообщения</w:t>
            </w:r>
          </w:p>
        </w:tc>
      </w:tr>
      <w:tr w:rsidR="00843B3B" w:rsidRPr="0066769F">
        <w:tc>
          <w:tcPr>
            <w:tcW w:w="10234" w:type="dxa"/>
            <w:gridSpan w:val="12"/>
          </w:tcPr>
          <w:p w:rsidR="00843B3B" w:rsidRPr="0066769F" w:rsidRDefault="00A425BD" w:rsidP="004561A1">
            <w:pPr>
              <w:jc w:val="center"/>
              <w:rPr>
                <w:b/>
              </w:rPr>
            </w:pPr>
            <w:r w:rsidRPr="0066769F">
              <w:rPr>
                <w:b/>
              </w:rPr>
              <w:t xml:space="preserve">«Сведения </w:t>
            </w:r>
            <w:r w:rsidR="004561A1" w:rsidRPr="0066769F">
              <w:rPr>
                <w:b/>
              </w:rPr>
              <w:t>об утверждении решения о выпуске</w:t>
            </w:r>
            <w:r w:rsidRPr="0066769F">
              <w:rPr>
                <w:b/>
              </w:rPr>
              <w:t xml:space="preserve"> ценных бумаг»</w:t>
            </w:r>
          </w:p>
        </w:tc>
      </w:tr>
      <w:tr w:rsidR="002F38FE" w:rsidRPr="0066769F" w:rsidTr="000C306D">
        <w:trPr>
          <w:trHeight w:val="2400"/>
        </w:trPr>
        <w:tc>
          <w:tcPr>
            <w:tcW w:w="10234" w:type="dxa"/>
            <w:gridSpan w:val="12"/>
          </w:tcPr>
          <w:p w:rsidR="00843B3B" w:rsidRPr="0066769F" w:rsidRDefault="00C52E83" w:rsidP="00D720BD">
            <w:pPr>
              <w:jc w:val="both"/>
            </w:pPr>
            <w:r w:rsidRPr="0066769F">
              <w:t xml:space="preserve">2. </w:t>
            </w:r>
            <w:r w:rsidR="00052ACD" w:rsidRPr="0066769F">
              <w:t xml:space="preserve">1. </w:t>
            </w:r>
            <w:r w:rsidR="00843B3B" w:rsidRPr="0066769F">
              <w:t>В сообщении о существенном факте, содержащем сведения о принятии решения о размещении ценных бумаг, указывается:</w:t>
            </w:r>
          </w:p>
          <w:p w:rsidR="00843B3B" w:rsidRPr="0066769F" w:rsidRDefault="00843B3B" w:rsidP="004561A1">
            <w:pPr>
              <w:adjustRightInd w:val="0"/>
              <w:jc w:val="both"/>
            </w:pPr>
            <w:r w:rsidRPr="0066769F">
              <w:t xml:space="preserve">2.1.1. </w:t>
            </w:r>
            <w:proofErr w:type="gramStart"/>
            <w:r w:rsidR="004561A1" w:rsidRPr="0066769F">
              <w:t>О</w:t>
            </w:r>
            <w:r w:rsidR="004561A1" w:rsidRPr="0066769F">
              <w:rPr>
                <w:bCs/>
              </w:rPr>
              <w:t>рган управления эмитента, утвердивший решение о выпуске (дополнительном выпуске)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 форма голосования (совместное присутствие или заочное голосование):</w:t>
            </w:r>
            <w:proofErr w:type="gramEnd"/>
            <w:r w:rsidR="004561A1" w:rsidRPr="0066769F">
              <w:rPr>
                <w:bCs/>
              </w:rPr>
              <w:t xml:space="preserve"> </w:t>
            </w:r>
            <w:r w:rsidRPr="0066769F">
              <w:t>Решение о</w:t>
            </w:r>
            <w:r w:rsidR="004561A1" w:rsidRPr="0066769F">
              <w:t>б</w:t>
            </w:r>
            <w:r w:rsidRPr="0066769F">
              <w:t xml:space="preserve"> </w:t>
            </w:r>
            <w:proofErr w:type="gramStart"/>
            <w:r w:rsidR="004561A1" w:rsidRPr="0066769F">
              <w:t>утверждении</w:t>
            </w:r>
            <w:proofErr w:type="gramEnd"/>
            <w:r w:rsidR="004561A1" w:rsidRPr="0066769F">
              <w:t xml:space="preserve"> о выпуске ценных</w:t>
            </w:r>
            <w:r w:rsidRPr="0066769F">
              <w:t xml:space="preserve"> бумаг  принято Советом директоров ОАО «ЯТЭК»</w:t>
            </w:r>
            <w:r w:rsidR="002509BA" w:rsidRPr="0066769F">
              <w:t xml:space="preserve">, </w:t>
            </w:r>
            <w:r w:rsidR="00A60F23" w:rsidRPr="0066769F">
              <w:t xml:space="preserve">форма голосования </w:t>
            </w:r>
            <w:r w:rsidR="00E80A96" w:rsidRPr="0066769F">
              <w:t>–</w:t>
            </w:r>
            <w:r w:rsidR="00A60F23" w:rsidRPr="0066769F">
              <w:t xml:space="preserve"> </w:t>
            </w:r>
            <w:r w:rsidR="00E80A96" w:rsidRPr="0066769F">
              <w:t>совместное присутствие</w:t>
            </w:r>
            <w:r w:rsidR="00A60F23" w:rsidRPr="0066769F">
              <w:t>.</w:t>
            </w:r>
          </w:p>
          <w:p w:rsidR="00843B3B" w:rsidRPr="0066769F" w:rsidRDefault="00843B3B" w:rsidP="00D720BD">
            <w:pPr>
              <w:jc w:val="both"/>
            </w:pPr>
            <w:r w:rsidRPr="0066769F">
              <w:t>2.1.2. Дата и место проведения собрания (заседания) уполномоченного органа управления эмитента, на котором принято ре</w:t>
            </w:r>
            <w:r w:rsidR="004561A1" w:rsidRPr="0066769F">
              <w:t>шение о размещении ценных бумаг:</w:t>
            </w:r>
            <w:r w:rsidRPr="0066769F">
              <w:t xml:space="preserve"> </w:t>
            </w:r>
            <w:r w:rsidR="00E80A96" w:rsidRPr="0066769F">
              <w:t>30</w:t>
            </w:r>
            <w:r w:rsidRPr="0066769F">
              <w:t xml:space="preserve"> </w:t>
            </w:r>
            <w:r w:rsidR="00E80A96" w:rsidRPr="0066769F">
              <w:t xml:space="preserve">октября </w:t>
            </w:r>
            <w:r w:rsidRPr="0066769F">
              <w:t xml:space="preserve">2012 года. </w:t>
            </w:r>
            <w:r w:rsidR="0066769F" w:rsidRPr="0066769F">
              <w:t xml:space="preserve">Место проведения: </w:t>
            </w:r>
            <w:proofErr w:type="gramStart"/>
            <w:r w:rsidR="0066769F" w:rsidRPr="0066769F">
              <w:t>г</w:t>
            </w:r>
            <w:proofErr w:type="gramEnd"/>
            <w:r w:rsidR="0066769F" w:rsidRPr="0066769F">
              <w:t>. Москва, Большой Саввинский переулок, д. 10А.</w:t>
            </w:r>
          </w:p>
          <w:p w:rsidR="00583373" w:rsidRPr="0066769F" w:rsidRDefault="00583373" w:rsidP="00D720BD">
            <w:pPr>
              <w:jc w:val="both"/>
            </w:pPr>
            <w:r w:rsidRPr="0066769F">
              <w:t xml:space="preserve">2.1.3.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 </w:t>
            </w:r>
            <w:r w:rsidR="00E80A96" w:rsidRPr="0066769F">
              <w:t>30</w:t>
            </w:r>
            <w:r w:rsidRPr="0066769F">
              <w:t xml:space="preserve"> </w:t>
            </w:r>
            <w:r w:rsidR="00E80A96" w:rsidRPr="0066769F">
              <w:t xml:space="preserve">октября </w:t>
            </w:r>
            <w:r w:rsidRPr="0066769F">
              <w:t xml:space="preserve"> 2012г. </w:t>
            </w:r>
            <w:proofErr w:type="gramStart"/>
            <w:r w:rsidRPr="0066769F">
              <w:t>Протокол б</w:t>
            </w:r>
            <w:proofErr w:type="gramEnd"/>
            <w:r w:rsidRPr="0066769F">
              <w:t>/н.</w:t>
            </w:r>
          </w:p>
          <w:p w:rsidR="00583373" w:rsidRPr="0066769F" w:rsidRDefault="00583373" w:rsidP="00637F3F">
            <w:pPr>
              <w:jc w:val="both"/>
            </w:pPr>
            <w:r w:rsidRPr="0066769F">
              <w:t>2.1.4. Кворум и результаты голосования по вопросу о принятии решения о размещении ценных бумаг. Количество избра</w:t>
            </w:r>
            <w:r w:rsidR="00E80A96" w:rsidRPr="0066769F">
              <w:t xml:space="preserve">нных членов Совета директоров: 7 </w:t>
            </w:r>
            <w:r w:rsidRPr="0066769F">
              <w:t>(</w:t>
            </w:r>
            <w:r w:rsidR="00E80A96" w:rsidRPr="0066769F">
              <w:t>семь</w:t>
            </w:r>
            <w:r w:rsidRPr="0066769F">
              <w:t xml:space="preserve">) человек. Число членов Совета директоров, принявших участие в голосовании: </w:t>
            </w:r>
            <w:r w:rsidR="00E80A96" w:rsidRPr="0066769F">
              <w:t>6</w:t>
            </w:r>
            <w:r w:rsidRPr="0066769F">
              <w:t xml:space="preserve"> (</w:t>
            </w:r>
            <w:r w:rsidR="0066769F" w:rsidRPr="0066769F">
              <w:t>шесть</w:t>
            </w:r>
            <w:r w:rsidRPr="0066769F">
              <w:t>) человек</w:t>
            </w:r>
            <w:r w:rsidR="0078140B" w:rsidRPr="0066769F">
              <w:t>. Кворум по данному вопросу повестки дня имеется.</w:t>
            </w:r>
            <w:r w:rsidRPr="0066769F">
              <w:rPr>
                <w:b/>
              </w:rPr>
              <w:t xml:space="preserve"> </w:t>
            </w:r>
            <w:r w:rsidR="0078140B" w:rsidRPr="0066769F">
              <w:t xml:space="preserve">Результаты голосования: «ЗА»- </w:t>
            </w:r>
            <w:r w:rsidR="00E80A96" w:rsidRPr="0066769F">
              <w:t>6</w:t>
            </w:r>
            <w:r w:rsidR="0078140B" w:rsidRPr="0066769F">
              <w:t xml:space="preserve"> голосов</w:t>
            </w:r>
            <w:r w:rsidR="00637F3F">
              <w:t xml:space="preserve"> (Власова Екатерина Анатольевна; Винокуров Александр Семенович; Мошкович Геннадий Петрович;  </w:t>
            </w:r>
            <w:proofErr w:type="spellStart"/>
            <w:r w:rsidR="00637F3F">
              <w:t>Чураков</w:t>
            </w:r>
            <w:proofErr w:type="spellEnd"/>
            <w:r w:rsidR="00637F3F">
              <w:t xml:space="preserve"> Алексей Юрьевич; </w:t>
            </w:r>
            <w:proofErr w:type="spellStart"/>
            <w:r w:rsidR="00637F3F">
              <w:t>Тюрикова</w:t>
            </w:r>
            <w:proofErr w:type="spellEnd"/>
            <w:r w:rsidR="00637F3F">
              <w:t xml:space="preserve"> Евгения Сергеевна; </w:t>
            </w:r>
            <w:proofErr w:type="spellStart"/>
            <w:r w:rsidR="00637F3F">
              <w:t>Шайдаев</w:t>
            </w:r>
            <w:proofErr w:type="spellEnd"/>
            <w:r w:rsidR="00637F3F">
              <w:t xml:space="preserve"> Марат Магомедович.)</w:t>
            </w:r>
            <w:r w:rsidR="0078140B" w:rsidRPr="0066769F">
              <w:t>, «ПРОТИВ» - 0 голосов, «ВОЗДЕРЖАЛИСЬ» - 0 голосов. Решение принято.</w:t>
            </w:r>
          </w:p>
          <w:p w:rsidR="006A265F" w:rsidRPr="0066769F" w:rsidRDefault="0078140B" w:rsidP="006A265F">
            <w:pPr>
              <w:jc w:val="both"/>
            </w:pPr>
            <w:r w:rsidRPr="0066769F">
              <w:t xml:space="preserve">2.1.5. </w:t>
            </w:r>
            <w:proofErr w:type="gramStart"/>
            <w:r w:rsidR="004561A1" w:rsidRPr="0066769F">
              <w:t>Вид, категория (тип), серия и иные идентификационные признаки размещаемых ценных бумаг:</w:t>
            </w:r>
            <w:r w:rsidR="006A265F" w:rsidRPr="0066769F">
              <w:t xml:space="preserve"> документарные процентные неконвертируемые биржевые облигации на предъявителя серии </w:t>
            </w:r>
            <w:r w:rsidR="003C31A0">
              <w:t>БО-03</w:t>
            </w:r>
            <w:r w:rsidR="006A265F" w:rsidRPr="0066769F">
              <w:t xml:space="preserve"> с обязательным централизованным хранением в количестве 3 000 </w:t>
            </w:r>
            <w:proofErr w:type="spellStart"/>
            <w:r w:rsidR="006A265F" w:rsidRPr="0066769F">
              <w:t>000</w:t>
            </w:r>
            <w:proofErr w:type="spellEnd"/>
            <w:r w:rsidR="006A265F" w:rsidRPr="0066769F">
              <w:t xml:space="preserve"> (Три миллиона) штук номинальной стоимостью 1 000 (Одна тысяча) рублей каждая общей номинальной стоимостью 3 000 </w:t>
            </w:r>
            <w:proofErr w:type="spellStart"/>
            <w:r w:rsidR="006A265F" w:rsidRPr="0066769F">
              <w:t>000</w:t>
            </w:r>
            <w:proofErr w:type="spellEnd"/>
            <w:r w:rsidR="006A265F" w:rsidRPr="0066769F">
              <w:t xml:space="preserve"> </w:t>
            </w:r>
            <w:proofErr w:type="spellStart"/>
            <w:r w:rsidR="006A265F" w:rsidRPr="0066769F">
              <w:t>000</w:t>
            </w:r>
            <w:proofErr w:type="spellEnd"/>
            <w:r w:rsidR="006A265F" w:rsidRPr="0066769F">
              <w:t xml:space="preserve"> (Три миллиарда) рублей со сроком погашения в 1 092-й (Одна тысяча девяносто второй</w:t>
            </w:r>
            <w:proofErr w:type="gramEnd"/>
            <w:r w:rsidR="006A265F" w:rsidRPr="0066769F">
              <w:t xml:space="preserve">) день </w:t>
            </w:r>
            <w:proofErr w:type="gramStart"/>
            <w:r w:rsidR="006A265F" w:rsidRPr="0066769F">
              <w:t>с даты начала</w:t>
            </w:r>
            <w:proofErr w:type="gramEnd"/>
            <w:r w:rsidR="006A265F" w:rsidRPr="0066769F">
              <w:t xml:space="preserve"> размещения биржевых облигаций выпуска, </w:t>
            </w:r>
            <w:proofErr w:type="spellStart"/>
            <w:r w:rsidR="006A265F" w:rsidRPr="0066769F">
              <w:t>c</w:t>
            </w:r>
            <w:proofErr w:type="spellEnd"/>
            <w:r w:rsidR="006A265F" w:rsidRPr="0066769F">
              <w:t xml:space="preserve"> возможностью досрочного погашения по требованию владельцев и по усмотрению эмитента, размещаемы</w:t>
            </w:r>
            <w:r w:rsidR="0066769F" w:rsidRPr="0066769F">
              <w:t>е</w:t>
            </w:r>
            <w:r w:rsidR="006A265F" w:rsidRPr="0066769F">
              <w:t xml:space="preserve"> по открытой подписке.</w:t>
            </w:r>
          </w:p>
          <w:p w:rsidR="006A265F" w:rsidRPr="0066769F" w:rsidRDefault="006A265F" w:rsidP="006A265F">
            <w:pPr>
              <w:jc w:val="both"/>
              <w:rPr>
                <w:rStyle w:val="SUBST"/>
                <w:b w:val="0"/>
                <w:i w:val="0"/>
                <w:sz w:val="20"/>
                <w:szCs w:val="20"/>
              </w:rPr>
            </w:pPr>
            <w:r w:rsidRPr="0066769F">
              <w:t xml:space="preserve">2.1.6. Срок погашения (для облигаций и опционов эмитента): </w:t>
            </w:r>
            <w:r w:rsidR="003C31A0">
              <w:t xml:space="preserve">Дата начала погашения: </w:t>
            </w:r>
            <w:r w:rsidRPr="0066769F">
              <w:t>1 092-й (Одна тысяча девяносто второй) день с даты начала размещения биржевых облигаций выпуска</w:t>
            </w:r>
            <w:r w:rsidR="003C31A0">
              <w:t>.</w:t>
            </w:r>
            <w:r w:rsidRPr="0066769F">
              <w:t xml:space="preserve"> </w:t>
            </w:r>
            <w:r w:rsidRPr="0066769F">
              <w:rPr>
                <w:rStyle w:val="SUBST"/>
                <w:b w:val="0"/>
                <w:i w:val="0"/>
                <w:sz w:val="20"/>
                <w:szCs w:val="20"/>
              </w:rPr>
              <w:t xml:space="preserve">Даты начала и окончания погашения Биржевых облигаций серии </w:t>
            </w:r>
            <w:r w:rsidR="003C31A0">
              <w:rPr>
                <w:rStyle w:val="SUBST"/>
                <w:b w:val="0"/>
                <w:i w:val="0"/>
                <w:sz w:val="20"/>
                <w:szCs w:val="20"/>
              </w:rPr>
              <w:t>БО-03</w:t>
            </w:r>
            <w:r w:rsidRPr="0066769F">
              <w:rPr>
                <w:rStyle w:val="SUBST"/>
                <w:b w:val="0"/>
                <w:i w:val="0"/>
                <w:sz w:val="20"/>
                <w:szCs w:val="20"/>
              </w:rPr>
              <w:t xml:space="preserve"> совпадают.</w:t>
            </w:r>
          </w:p>
          <w:p w:rsidR="006A265F" w:rsidRPr="0066769F" w:rsidRDefault="006A265F" w:rsidP="006A265F">
            <w:pPr>
              <w:adjustRightInd w:val="0"/>
              <w:jc w:val="both"/>
            </w:pPr>
            <w:r w:rsidRPr="0066769F">
              <w:t xml:space="preserve">2.1.7.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3 000 </w:t>
            </w:r>
            <w:proofErr w:type="spellStart"/>
            <w:r w:rsidRPr="0066769F">
              <w:t>000</w:t>
            </w:r>
            <w:proofErr w:type="spellEnd"/>
            <w:r w:rsidRPr="0066769F">
              <w:t xml:space="preserve"> (Три миллиона) штук номинальной стоимостью 1 000 (Одна тысяча) рублей каждая.</w:t>
            </w:r>
          </w:p>
          <w:p w:rsidR="006A265F" w:rsidRPr="0066769F" w:rsidRDefault="006A265F" w:rsidP="006A265F">
            <w:pPr>
              <w:adjustRightInd w:val="0"/>
              <w:jc w:val="both"/>
            </w:pPr>
            <w:r w:rsidRPr="0066769F">
              <w:t>2.1.8.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Открытая подписка.</w:t>
            </w:r>
          </w:p>
          <w:p w:rsidR="0066769F" w:rsidRDefault="006A265F" w:rsidP="006A265F">
            <w:pPr>
              <w:jc w:val="both"/>
            </w:pPr>
            <w:r w:rsidRPr="0066769F">
              <w:t xml:space="preserve">2.1.9. Цена размещения ценных бумаг или порядок ее определения: </w:t>
            </w:r>
          </w:p>
          <w:p w:rsidR="006A265F" w:rsidRPr="0066769F" w:rsidRDefault="006A265F" w:rsidP="006A265F">
            <w:pPr>
              <w:jc w:val="both"/>
            </w:pPr>
            <w:r w:rsidRPr="0066769F">
              <w:t xml:space="preserve">Цена размещения Биржевых облигаций серии </w:t>
            </w:r>
            <w:r w:rsidR="003C31A0">
              <w:t>БО-03</w:t>
            </w:r>
            <w:r w:rsidRPr="0066769F">
              <w:t xml:space="preserve"> устанавливается равной 1000 (Одна тысяча) рублей за Биржевую облигацию серии </w:t>
            </w:r>
            <w:r w:rsidR="003C31A0">
              <w:t>БО-03</w:t>
            </w:r>
            <w:r w:rsidRPr="0066769F">
              <w:t xml:space="preserve"> (100% от номинальной стоимости).</w:t>
            </w:r>
          </w:p>
          <w:p w:rsidR="006A265F" w:rsidRPr="0066769F" w:rsidRDefault="006A265F" w:rsidP="006A265F">
            <w:pPr>
              <w:jc w:val="both"/>
            </w:pPr>
            <w:r w:rsidRPr="0066769F">
              <w:t xml:space="preserve">Начиная со второго дня размещения Биржевых облигаций серии </w:t>
            </w:r>
            <w:r w:rsidR="003C31A0">
              <w:t>БО-03</w:t>
            </w:r>
            <w:r w:rsidRPr="0066769F">
              <w:t xml:space="preserve"> выпуска, покупатель при совершении сделки купли-продажи Биржевых облигаций серии </w:t>
            </w:r>
            <w:r w:rsidR="003C31A0">
              <w:t>БО-03</w:t>
            </w:r>
            <w:r w:rsidRPr="0066769F">
              <w:t xml:space="preserve"> также уплачивает накопленный купонный доход по Биржевым облигациям серии </w:t>
            </w:r>
            <w:r w:rsidR="003C31A0">
              <w:t>БО-03</w:t>
            </w:r>
            <w:r w:rsidRPr="0066769F">
              <w:t xml:space="preserve"> (НКД), определяемый по следующей формуле:</w:t>
            </w:r>
          </w:p>
          <w:p w:rsidR="006A265F" w:rsidRPr="0066769F" w:rsidRDefault="006A265F" w:rsidP="006A265F">
            <w:pPr>
              <w:jc w:val="both"/>
            </w:pPr>
            <w:r w:rsidRPr="0066769F">
              <w:t xml:space="preserve">НКД = </w:t>
            </w:r>
            <w:proofErr w:type="spellStart"/>
            <w:r w:rsidRPr="0066769F">
              <w:t>Nom</w:t>
            </w:r>
            <w:proofErr w:type="spellEnd"/>
            <w:r w:rsidRPr="0066769F">
              <w:t xml:space="preserve"> * C * ((T - T0) / 365)/ 100%, где</w:t>
            </w:r>
          </w:p>
          <w:p w:rsidR="006A265F" w:rsidRPr="0066769F" w:rsidRDefault="006A265F" w:rsidP="006A265F">
            <w:pPr>
              <w:jc w:val="both"/>
            </w:pPr>
            <w:r w:rsidRPr="0066769F">
              <w:t>НКД - накопленный купонный доход, руб.</w:t>
            </w:r>
          </w:p>
          <w:p w:rsidR="006A265F" w:rsidRPr="0066769F" w:rsidRDefault="006A265F" w:rsidP="006A265F">
            <w:pPr>
              <w:jc w:val="both"/>
            </w:pPr>
            <w:proofErr w:type="spellStart"/>
            <w:r w:rsidRPr="0066769F">
              <w:t>Nom</w:t>
            </w:r>
            <w:proofErr w:type="spellEnd"/>
            <w:r w:rsidRPr="0066769F">
              <w:t xml:space="preserve"> - номинальная стоимость одной Биржевой облигации серии </w:t>
            </w:r>
            <w:r w:rsidR="003C31A0">
              <w:t>БО-03</w:t>
            </w:r>
            <w:r w:rsidRPr="0066769F">
              <w:t>, руб.;</w:t>
            </w:r>
          </w:p>
          <w:p w:rsidR="006A265F" w:rsidRPr="0066769F" w:rsidRDefault="006A265F" w:rsidP="006A265F">
            <w:pPr>
              <w:jc w:val="both"/>
            </w:pPr>
            <w:r w:rsidRPr="0066769F">
              <w:t>С - размер процентной ставки первого купонного периода, процентов годовых;</w:t>
            </w:r>
          </w:p>
          <w:p w:rsidR="006A265F" w:rsidRPr="0066769F" w:rsidRDefault="006A265F" w:rsidP="006A265F">
            <w:pPr>
              <w:jc w:val="both"/>
            </w:pPr>
            <w:r w:rsidRPr="0066769F">
              <w:t xml:space="preserve">T – текущая дата размещения Биржевых облигаций серии </w:t>
            </w:r>
            <w:r w:rsidR="003C31A0">
              <w:t>БО-03</w:t>
            </w:r>
            <w:r w:rsidRPr="0066769F">
              <w:t>;</w:t>
            </w:r>
          </w:p>
          <w:p w:rsidR="006A265F" w:rsidRPr="0066769F" w:rsidRDefault="006A265F" w:rsidP="006A265F">
            <w:pPr>
              <w:jc w:val="both"/>
            </w:pPr>
            <w:r w:rsidRPr="0066769F">
              <w:t xml:space="preserve">T0 - дата начала размещения Биржевых облигаций серии </w:t>
            </w:r>
            <w:r w:rsidR="003C31A0">
              <w:t>БО-03</w:t>
            </w:r>
            <w:r w:rsidRPr="0066769F">
              <w:t>.</w:t>
            </w:r>
          </w:p>
          <w:p w:rsidR="006A265F" w:rsidRPr="0066769F" w:rsidRDefault="006A265F" w:rsidP="006A265F">
            <w:pPr>
              <w:jc w:val="both"/>
            </w:pPr>
            <w:r w:rsidRPr="0066769F">
              <w:t xml:space="preserve">Величина накопленного купонного дохода в расчете на одну Биржевую облигацию серии </w:t>
            </w:r>
            <w:r w:rsidR="003C31A0">
              <w:t>БО-03</w:t>
            </w:r>
            <w:r w:rsidRPr="0066769F">
              <w:t xml:space="preserve">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6769F">
              <w:t>за</w:t>
            </w:r>
            <w:proofErr w:type="gramEnd"/>
            <w:r w:rsidRPr="0066769F">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w:t>
            </w:r>
          </w:p>
          <w:p w:rsidR="000D119F" w:rsidRPr="0066769F" w:rsidRDefault="000D119F" w:rsidP="000D119F">
            <w:pPr>
              <w:adjustRightInd w:val="0"/>
              <w:jc w:val="both"/>
            </w:pPr>
            <w:r w:rsidRPr="006B7050">
              <w:lastRenderedPageBreak/>
              <w:t>2.1.10. Срок (даты начала и окончания) размещения ценных бумаг или порядок его определения:</w:t>
            </w:r>
          </w:p>
          <w:p w:rsidR="0066769F" w:rsidRPr="0066769F" w:rsidRDefault="0066769F" w:rsidP="0066769F">
            <w:pPr>
              <w:adjustRightInd w:val="0"/>
              <w:jc w:val="both"/>
            </w:pPr>
            <w:r w:rsidRPr="0066769F">
              <w:t>Дата начала размещения или порядок ее определения:</w:t>
            </w:r>
          </w:p>
          <w:p w:rsidR="0066769F" w:rsidRPr="0066769F" w:rsidRDefault="0066769F" w:rsidP="0066769F">
            <w:pPr>
              <w:adjustRightInd w:val="0"/>
              <w:jc w:val="both"/>
            </w:pPr>
            <w:r w:rsidRPr="0066769F">
              <w:t xml:space="preserve">Размещение Биржевых облигаций серии </w:t>
            </w:r>
            <w:r w:rsidR="003C31A0">
              <w:t>БО-03</w:t>
            </w:r>
            <w:r w:rsidRPr="0066769F">
              <w:t xml:space="preserve"> может быть начато не ранее чем через семь дней с момента раскрытия Эмитентом, а также фондовой биржей, осуществившей допуск Биржевых облигаций серии </w:t>
            </w:r>
            <w:r w:rsidR="003C31A0">
              <w:t>БО-03</w:t>
            </w:r>
            <w:r w:rsidRPr="0066769F">
              <w:t xml:space="preserve"> к торгам, информации о допуске Биржевых облигаций серии </w:t>
            </w:r>
            <w:r w:rsidR="003C31A0">
              <w:t>БО-03</w:t>
            </w:r>
            <w:r w:rsidRPr="0066769F">
              <w:t xml:space="preserve"> к торгам на фондовой бирже. </w:t>
            </w:r>
          </w:p>
          <w:p w:rsidR="0066769F" w:rsidRPr="0066769F" w:rsidRDefault="0066769F" w:rsidP="0066769F">
            <w:pPr>
              <w:adjustRightInd w:val="0"/>
              <w:jc w:val="both"/>
            </w:pPr>
            <w:r w:rsidRPr="0066769F">
              <w:t xml:space="preserve">Сообщение о допуске Биржевых облигаций серии </w:t>
            </w:r>
            <w:r w:rsidR="003C31A0">
              <w:t>БО-03</w:t>
            </w:r>
            <w:r w:rsidRPr="0066769F">
              <w:t xml:space="preserve"> к торгам в процессе их размещения и порядке доступа к информации, содержащейся в Проспекте ценных бумаг, публикуется Эмитентом в порядке и сроки, указанные в п. 11 Решения о выпуске ценных бумаг</w:t>
            </w:r>
          </w:p>
          <w:p w:rsidR="0066769F" w:rsidRPr="0066769F" w:rsidRDefault="0066769F" w:rsidP="0066769F">
            <w:pPr>
              <w:adjustRightInd w:val="0"/>
              <w:jc w:val="both"/>
            </w:pPr>
            <w:r w:rsidRPr="0066769F">
              <w:t xml:space="preserve">Дата начала размещения Биржевых облигаций серии </w:t>
            </w:r>
            <w:r w:rsidR="003C31A0">
              <w:t>БО-03</w:t>
            </w:r>
            <w:r w:rsidRPr="0066769F">
              <w:t xml:space="preserve"> устанавливается уполномоченным органом управления Эмитента.</w:t>
            </w:r>
          </w:p>
          <w:p w:rsidR="0066769F" w:rsidRPr="0066769F" w:rsidRDefault="0066769F" w:rsidP="0066769F">
            <w:pPr>
              <w:adjustRightInd w:val="0"/>
              <w:jc w:val="both"/>
            </w:pPr>
            <w:proofErr w:type="gramStart"/>
            <w:r w:rsidRPr="0066769F">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66769F">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66769F" w:rsidRPr="0066769F" w:rsidRDefault="0066769F" w:rsidP="0066769F">
            <w:pPr>
              <w:adjustRightInd w:val="0"/>
              <w:jc w:val="both"/>
            </w:pPr>
            <w:r w:rsidRPr="0066769F">
              <w:t xml:space="preserve">Сообщение о дате начала размещения Биржевых облигаций серии </w:t>
            </w:r>
            <w:r w:rsidR="003C31A0">
              <w:t>БО-03</w:t>
            </w:r>
            <w:r w:rsidRPr="0066769F">
              <w:t xml:space="preserve"> публикуется Эмитентом в соответствии с требованиями Положения о раскрытии информации эмитентами эмиссионных ценных бумаг, утвержденного Приказом ФСФР России от 04 октября 2011 года № 11-46/</w:t>
            </w:r>
            <w:proofErr w:type="spellStart"/>
            <w:r w:rsidRPr="0066769F">
              <w:t>пз-н</w:t>
            </w:r>
            <w:proofErr w:type="spellEnd"/>
            <w:r w:rsidRPr="0066769F">
              <w:t xml:space="preserve"> в следующие сроки:</w:t>
            </w:r>
          </w:p>
          <w:p w:rsidR="0066769F" w:rsidRPr="0066769F" w:rsidRDefault="0066769F" w:rsidP="0066769F">
            <w:pPr>
              <w:adjustRightInd w:val="0"/>
              <w:jc w:val="both"/>
            </w:pPr>
            <w:r w:rsidRPr="0066769F">
              <w:t>•</w:t>
            </w:r>
            <w:r w:rsidR="00C338A8">
              <w:t xml:space="preserve"> </w:t>
            </w:r>
            <w:r w:rsidRPr="0066769F">
              <w:t xml:space="preserve">в ленте новостей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также – «в ленте новостей»), - не </w:t>
            </w:r>
            <w:proofErr w:type="gramStart"/>
            <w:r w:rsidRPr="0066769F">
              <w:t>позднее</w:t>
            </w:r>
            <w:proofErr w:type="gramEnd"/>
            <w:r w:rsidRPr="0066769F">
              <w:t xml:space="preserve"> чем за 5 (Пять) дней до даты начала размещения ценных бумаг;</w:t>
            </w:r>
          </w:p>
          <w:p w:rsidR="0066769F" w:rsidRPr="0066769F" w:rsidRDefault="0066769F" w:rsidP="0066769F">
            <w:pPr>
              <w:adjustRightInd w:val="0"/>
              <w:jc w:val="both"/>
            </w:pPr>
            <w:r w:rsidRPr="0066769F">
              <w:t>•</w:t>
            </w:r>
            <w:r w:rsidR="00C338A8">
              <w:t xml:space="preserve"> </w:t>
            </w:r>
            <w:r w:rsidRPr="0066769F">
              <w:t xml:space="preserve">на страницах в информационно-телекоммуникационной сети «Интернет» (далее – сеть Интернет), используемых Эмитентом для раскрытия информации по адресам: http://www.e-disclosure.ru/portal/company.aspx?id=4994; http://www.yatec.ru/ - не позднее, чем за 4 (Четыре) дня до даты начала размещения ценных бумаг. </w:t>
            </w:r>
          </w:p>
          <w:p w:rsidR="0066769F" w:rsidRPr="0066769F" w:rsidRDefault="0066769F" w:rsidP="0066769F">
            <w:pPr>
              <w:adjustRightInd w:val="0"/>
              <w:jc w:val="both"/>
            </w:pPr>
            <w:r w:rsidRPr="0066769F">
              <w:t xml:space="preserve">Эмитент уведомляет Биржу о дате начала размещения не позднее, чем за 5 (Пять) дней до даты начала размещения Биржевых облигаций серии </w:t>
            </w:r>
            <w:r w:rsidR="003C31A0">
              <w:t>БО-03</w:t>
            </w:r>
            <w:r w:rsidRPr="0066769F">
              <w:t>.</w:t>
            </w:r>
          </w:p>
          <w:p w:rsidR="0066769F" w:rsidRPr="0066769F" w:rsidRDefault="0066769F" w:rsidP="0066769F">
            <w:pPr>
              <w:adjustRightInd w:val="0"/>
              <w:jc w:val="both"/>
            </w:pPr>
            <w:proofErr w:type="gramStart"/>
            <w:r w:rsidRPr="0066769F">
              <w:t xml:space="preserve">Дата начала размещения Биржевых облигаций серии </w:t>
            </w:r>
            <w:r w:rsidR="003C31A0">
              <w:t>БО-03</w:t>
            </w:r>
            <w:r w:rsidRPr="0066769F">
              <w:t xml:space="preserve">,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серии </w:t>
            </w:r>
            <w:r w:rsidR="003C31A0">
              <w:t>БО-03</w:t>
            </w:r>
            <w:r w:rsidRPr="0066769F">
              <w:t>, определенному законодательством Российской Федерации, Решением о выпуске ценных бумаг и Проспектом ценных бумаг.</w:t>
            </w:r>
            <w:proofErr w:type="gramEnd"/>
          </w:p>
          <w:p w:rsidR="0066769F" w:rsidRPr="0066769F" w:rsidRDefault="0066769F" w:rsidP="0066769F">
            <w:pPr>
              <w:adjustRightInd w:val="0"/>
              <w:jc w:val="both"/>
            </w:pPr>
            <w:r w:rsidRPr="0066769F">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не позднее 1 (Одного) дня до наступления такой даты.</w:t>
            </w:r>
          </w:p>
          <w:p w:rsidR="0066769F" w:rsidRPr="0066769F" w:rsidRDefault="0066769F" w:rsidP="0066769F">
            <w:pPr>
              <w:adjustRightInd w:val="0"/>
              <w:jc w:val="both"/>
            </w:pPr>
            <w:r w:rsidRPr="0066769F">
              <w:t>Об изменении даты начала размещения Эмитент уведомляет Биржу не позднее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соответствующее решение, или даты принятия такого решения уполномоченным органом управления Эмитента, если составление протокола не требуется.</w:t>
            </w:r>
          </w:p>
          <w:p w:rsidR="0066769F" w:rsidRPr="0066769F" w:rsidRDefault="0066769F" w:rsidP="0066769F">
            <w:pPr>
              <w:adjustRightInd w:val="0"/>
              <w:jc w:val="both"/>
            </w:pPr>
            <w:r w:rsidRPr="0066769F">
              <w:t>Дата окончания размещения, или порядок ее определения:</w:t>
            </w:r>
          </w:p>
          <w:p w:rsidR="0066769F" w:rsidRPr="0066769F" w:rsidRDefault="0066769F" w:rsidP="0066769F">
            <w:pPr>
              <w:adjustRightInd w:val="0"/>
              <w:jc w:val="both"/>
            </w:pPr>
            <w:r w:rsidRPr="0066769F">
              <w:t xml:space="preserve">Датой окончания размещения Биржевых облигаций серии </w:t>
            </w:r>
            <w:r w:rsidR="003C31A0">
              <w:t>БО-03</w:t>
            </w:r>
            <w:r w:rsidRPr="0066769F">
              <w:t xml:space="preserve"> является наиболее ранняя из следующих дат: </w:t>
            </w:r>
          </w:p>
          <w:p w:rsidR="0066769F" w:rsidRPr="0066769F" w:rsidRDefault="0066769F" w:rsidP="0066769F">
            <w:pPr>
              <w:adjustRightInd w:val="0"/>
              <w:jc w:val="both"/>
            </w:pPr>
            <w:r w:rsidRPr="0066769F">
              <w:t xml:space="preserve">а) 3-й (Третий) рабочий день с даты начала размещения Биржевых облигаций серии </w:t>
            </w:r>
            <w:r w:rsidR="003C31A0">
              <w:t>БО-03</w:t>
            </w:r>
            <w:r w:rsidRPr="0066769F">
              <w:t xml:space="preserve">; </w:t>
            </w:r>
          </w:p>
          <w:p w:rsidR="0066769F" w:rsidRPr="0066769F" w:rsidRDefault="0066769F" w:rsidP="0066769F">
            <w:pPr>
              <w:adjustRightInd w:val="0"/>
              <w:jc w:val="both"/>
            </w:pPr>
            <w:r w:rsidRPr="0066769F">
              <w:t xml:space="preserve">б) дата размещения последней Биржевой облигации выпуска, но не позднее одного месяца с даты начала размещения Биржевых облигаций серии </w:t>
            </w:r>
            <w:r w:rsidR="003C31A0">
              <w:t>БО-03</w:t>
            </w:r>
            <w:r w:rsidRPr="0066769F">
              <w:t>.</w:t>
            </w:r>
          </w:p>
          <w:p w:rsidR="0066769F" w:rsidRPr="0066769F" w:rsidRDefault="0066769F" w:rsidP="000D119F">
            <w:pPr>
              <w:adjustRightInd w:val="0"/>
              <w:jc w:val="both"/>
            </w:pPr>
          </w:p>
          <w:p w:rsidR="000D119F" w:rsidRPr="0066769F" w:rsidRDefault="000D119F" w:rsidP="000D119F">
            <w:pPr>
              <w:adjustRightInd w:val="0"/>
              <w:jc w:val="both"/>
              <w:rPr>
                <w:bCs/>
                <w:iCs/>
              </w:rPr>
            </w:pPr>
            <w:r w:rsidRPr="006B7050">
              <w:t>2.2.11.</w:t>
            </w:r>
            <w:r w:rsidRPr="006B7050">
              <w:rPr>
                <w:bCs/>
                <w:iCs/>
              </w:rPr>
              <w:t xml:space="preserve"> Иные условия размещения ценных бумаг, определенные решением об их размещении:</w:t>
            </w:r>
          </w:p>
          <w:p w:rsidR="00637F3F" w:rsidRPr="00615814" w:rsidRDefault="00637F3F" w:rsidP="00637F3F">
            <w:pPr>
              <w:jc w:val="both"/>
            </w:pPr>
            <w:r w:rsidRPr="00615814">
              <w:t xml:space="preserve">Форма оплаты Облигаций: Биржевые облигации серии </w:t>
            </w:r>
            <w:r w:rsidR="003C31A0">
              <w:t>БО-03</w:t>
            </w:r>
            <w:r w:rsidRPr="00615814">
              <w:t xml:space="preserve"> при размещении оплачиваются в денежной форме в безналичном порядке в валюте Российской Федерации. Возможность рассрочки при оплате Биржевых облигаций серии </w:t>
            </w:r>
            <w:r w:rsidR="003C31A0">
              <w:t>БО-03</w:t>
            </w:r>
            <w:r w:rsidRPr="00615814">
              <w:t xml:space="preserve"> не предусмотрена.</w:t>
            </w:r>
          </w:p>
          <w:p w:rsidR="00637F3F" w:rsidRPr="00615814" w:rsidRDefault="00637F3F" w:rsidP="00637F3F">
            <w:pPr>
              <w:jc w:val="both"/>
            </w:pPr>
            <w:r w:rsidRPr="00615814">
              <w:t xml:space="preserve">Форма, порядок и срок погашения Облигаций: Погашение Биржевых облигаций серии </w:t>
            </w:r>
            <w:r w:rsidR="003C31A0">
              <w:t>БО-03</w:t>
            </w:r>
            <w:r w:rsidRPr="00615814">
              <w:t xml:space="preserve"> производится денежными средствами в валюте Российской Федерации в безналичном порядке. Возможность выбора владельцами Биржевых облигаций серии </w:t>
            </w:r>
            <w:r w:rsidR="003C31A0">
              <w:t>БО-03</w:t>
            </w:r>
            <w:r w:rsidRPr="00615814">
              <w:t xml:space="preserve"> формы погашения Биржевых облигаций серии </w:t>
            </w:r>
            <w:r w:rsidR="003C31A0">
              <w:t>БО-03</w:t>
            </w:r>
            <w:r w:rsidRPr="00615814">
              <w:t xml:space="preserve"> не предусмотрена.</w:t>
            </w:r>
          </w:p>
          <w:p w:rsidR="00637F3F" w:rsidRPr="00615814" w:rsidRDefault="00637F3F" w:rsidP="00637F3F">
            <w:pPr>
              <w:jc w:val="both"/>
            </w:pPr>
            <w:r w:rsidRPr="00615814">
              <w:t xml:space="preserve">Погашение Биржевых облигаций серии </w:t>
            </w:r>
            <w:r w:rsidR="003C31A0">
              <w:t>БО-03</w:t>
            </w:r>
            <w:r w:rsidRPr="00615814">
              <w:t xml:space="preserve"> производится по номинальной стоимости Биржевых облигаций серии </w:t>
            </w:r>
            <w:r w:rsidR="003C31A0">
              <w:t>БО-03</w:t>
            </w:r>
            <w:r w:rsidRPr="00615814">
              <w:t xml:space="preserve"> или по остатку номинальной стоимости Биржевой облигации серии </w:t>
            </w:r>
            <w:r w:rsidR="003C31A0">
              <w:t>БО-03</w:t>
            </w:r>
            <w:r w:rsidRPr="00615814">
              <w:t xml:space="preserve"> (далее - непогашенная часть номинальной стоимости Биржевых облигаций серии </w:t>
            </w:r>
            <w:r w:rsidR="003C31A0">
              <w:t>БО-03</w:t>
            </w:r>
            <w:r w:rsidRPr="00615814">
              <w:t xml:space="preserve">). Непогашенная часть номинальной стоимости определяется как разница между номинальной стоимостью одной Биржевой облигации серии </w:t>
            </w:r>
            <w:r w:rsidR="003C31A0">
              <w:t>БО-03</w:t>
            </w:r>
            <w:r w:rsidRPr="00615814">
              <w:t xml:space="preserve"> и её частью, погашенной при частичном досрочном погашении Биржевых облигаций серии </w:t>
            </w:r>
            <w:r w:rsidR="003C31A0">
              <w:t>БО-03</w:t>
            </w:r>
            <w:r w:rsidRPr="00615814">
              <w:t xml:space="preserve">, в случае если решение о частичном досрочном погашении принято Эмитентом в порядке, установленном решением о выпуске Биржевых облигаций серии </w:t>
            </w:r>
            <w:r w:rsidR="003C31A0">
              <w:t>БО-03</w:t>
            </w:r>
            <w:r w:rsidRPr="00615814">
              <w:t>.</w:t>
            </w:r>
          </w:p>
          <w:p w:rsidR="00637F3F" w:rsidRPr="00615814" w:rsidRDefault="00637F3F" w:rsidP="00637F3F">
            <w:pPr>
              <w:jc w:val="both"/>
            </w:pPr>
            <w:r w:rsidRPr="00615814">
              <w:t xml:space="preserve">Если дата погашения Биржевых облигаций серии </w:t>
            </w:r>
            <w:r w:rsidR="003C31A0">
              <w:t>БО-03</w:t>
            </w:r>
            <w:r w:rsidRPr="00615814">
              <w:t xml:space="preserve">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Владелец Биржевых облигаций серии </w:t>
            </w:r>
            <w:r w:rsidR="003C31A0">
              <w:t>БО-03</w:t>
            </w:r>
            <w:r w:rsidRPr="00615814">
              <w:t xml:space="preserve"> не имеет права требовать начисления процентов или какой-либо иной компенсации за такую задержку в платеже.</w:t>
            </w:r>
          </w:p>
          <w:p w:rsidR="00637F3F" w:rsidRPr="00615814" w:rsidRDefault="00637F3F" w:rsidP="00637F3F">
            <w:pPr>
              <w:jc w:val="both"/>
            </w:pPr>
            <w:r w:rsidRPr="00615814">
              <w:t xml:space="preserve">Иные условия погашения Биржевых облигаций серии </w:t>
            </w:r>
            <w:r w:rsidR="003C31A0">
              <w:t>БО-03</w:t>
            </w:r>
            <w:r w:rsidRPr="00615814">
              <w:t xml:space="preserve"> устанавливаются Решением о выпуске ценных бумаг и Проспектом ценных бумаг.</w:t>
            </w:r>
          </w:p>
          <w:p w:rsidR="00637F3F" w:rsidRPr="00615814" w:rsidRDefault="00637F3F" w:rsidP="00637F3F">
            <w:pPr>
              <w:jc w:val="both"/>
            </w:pPr>
            <w:r w:rsidRPr="00615814">
              <w:t>Возможность досрочного погашения Облигаций:</w:t>
            </w:r>
            <w:r w:rsidRPr="00615814">
              <w:tab/>
              <w:t xml:space="preserve">Предусмотрена возможность досрочного погашения Биржевых </w:t>
            </w:r>
            <w:r w:rsidRPr="00615814">
              <w:lastRenderedPageBreak/>
              <w:t xml:space="preserve">облигаций серии </w:t>
            </w:r>
            <w:r w:rsidR="003C31A0">
              <w:t>БО-03</w:t>
            </w:r>
            <w:r w:rsidRPr="00615814">
              <w:t xml:space="preserve"> по требованию их владельцев и по усмотрению эмитента. </w:t>
            </w:r>
          </w:p>
          <w:p w:rsidR="00637F3F" w:rsidRPr="00615814" w:rsidRDefault="00637F3F" w:rsidP="00637F3F">
            <w:pPr>
              <w:jc w:val="both"/>
            </w:pPr>
            <w:r w:rsidRPr="00615814">
              <w:t xml:space="preserve">Владелец Биржевых облигаций серии </w:t>
            </w:r>
            <w:r w:rsidR="003C31A0">
              <w:t>БО-03</w:t>
            </w:r>
            <w:r w:rsidRPr="00615814">
              <w:t xml:space="preserve"> имеет право требовать досрочного погашения Биржевых облигаций серии </w:t>
            </w:r>
            <w:r w:rsidR="003C31A0">
              <w:t>БО-03</w:t>
            </w:r>
            <w:r w:rsidRPr="00615814">
              <w:t xml:space="preserve"> и выплаты ему накопленного купонного дохода по Биржевым облигациям серии </w:t>
            </w:r>
            <w:r w:rsidR="003C31A0">
              <w:t>БО-03</w:t>
            </w:r>
            <w:r w:rsidRPr="00615814">
              <w:t xml:space="preserve">, рассчитанного на дату исполнения обязательств по досрочному погашению Биржевых облигаций серии </w:t>
            </w:r>
            <w:proofErr w:type="gramStart"/>
            <w:r w:rsidR="003C31A0">
              <w:t>БО-03</w:t>
            </w:r>
            <w:proofErr w:type="gramEnd"/>
            <w:r w:rsidRPr="00615814">
              <w:t xml:space="preserve"> в случае если акции всех категорий и типов и/или все облигации Эмитента Биржевых облигаций серии </w:t>
            </w:r>
            <w:r w:rsidR="003C31A0">
              <w:t>БО-03</w:t>
            </w:r>
            <w:r w:rsidRPr="00615814">
              <w:t xml:space="preserve">, допущенные к торгам на фондовых биржах, исключены из списка ценных бумаг, допущенных к торгам на всех фондовых биржах, осуществивших допуск Биржевых облигаций серии </w:t>
            </w:r>
            <w:r w:rsidR="003C31A0">
              <w:t>БО-03</w:t>
            </w:r>
            <w:r w:rsidRPr="00615814">
              <w:t xml:space="preserve"> к торгам (за исключением случаев </w:t>
            </w:r>
            <w:proofErr w:type="spellStart"/>
            <w:r w:rsidRPr="00615814">
              <w:t>делистинга</w:t>
            </w:r>
            <w:proofErr w:type="spellEnd"/>
            <w:r w:rsidRPr="00615814">
              <w:t xml:space="preserve"> облигаций в связи с истечением срока их обращения или их погашением)</w:t>
            </w:r>
          </w:p>
          <w:p w:rsidR="00637F3F" w:rsidRPr="00615814" w:rsidRDefault="00637F3F" w:rsidP="00637F3F">
            <w:pPr>
              <w:jc w:val="both"/>
            </w:pPr>
            <w:r w:rsidRPr="00615814">
              <w:t xml:space="preserve">Порядок и условия досрочного погашения Биржевых облигаций серии </w:t>
            </w:r>
            <w:r w:rsidR="003C31A0">
              <w:t>БО-03</w:t>
            </w:r>
            <w:r w:rsidRPr="00615814">
              <w:t xml:space="preserve"> по требованию их владельцев и по усмотрению Эмитента устанавливаются Решением о выпуске Биржевых облигаций серии </w:t>
            </w:r>
            <w:r w:rsidR="003C31A0">
              <w:t>БО-03</w:t>
            </w:r>
            <w:r w:rsidRPr="00615814">
              <w:t>.</w:t>
            </w:r>
          </w:p>
          <w:p w:rsidR="00637F3F" w:rsidRPr="00615814" w:rsidRDefault="00637F3F" w:rsidP="00637F3F">
            <w:pPr>
              <w:jc w:val="both"/>
            </w:pPr>
            <w:r w:rsidRPr="00615814">
              <w:t xml:space="preserve">Досрочное погашение Биржевых облигаций серии </w:t>
            </w:r>
            <w:r w:rsidR="003C31A0">
              <w:t>БО-03</w:t>
            </w:r>
            <w:r w:rsidRPr="00615814">
              <w:t xml:space="preserve"> производится денежными средствами в валюте Российской Федерации в безналичном порядке. Возможность выбора владельцами Биржевых облигаций серии </w:t>
            </w:r>
            <w:r w:rsidR="003C31A0">
              <w:t>БО-03</w:t>
            </w:r>
            <w:r w:rsidRPr="00615814">
              <w:t xml:space="preserve"> формы досрочного погашения Биржевых облигаций серии </w:t>
            </w:r>
            <w:r w:rsidR="003C31A0">
              <w:t>БО-03</w:t>
            </w:r>
            <w:r w:rsidRPr="00615814">
              <w:t xml:space="preserve"> не предусмотрена. </w:t>
            </w:r>
          </w:p>
          <w:p w:rsidR="00637F3F" w:rsidRPr="00615814" w:rsidRDefault="00637F3F" w:rsidP="00637F3F">
            <w:pPr>
              <w:jc w:val="both"/>
            </w:pPr>
            <w:r w:rsidRPr="00615814">
              <w:t>Возможность приобретения Облигаций:</w:t>
            </w:r>
            <w:r w:rsidRPr="00615814">
              <w:tab/>
              <w:t xml:space="preserve">Предусмотрена возможность приобретения Биржевых облигаций серии </w:t>
            </w:r>
            <w:r w:rsidR="003C31A0">
              <w:t>БО-03</w:t>
            </w:r>
            <w:r w:rsidRPr="00615814">
              <w:t xml:space="preserve"> Эмитентом по соглашению с их владельцем (владельцами) и по требованию их владельца (владельцев) с возможностью их дальнейшего обращения в соответствии с порядком, определенным Решением о выпуске Биржевых облигаций серии </w:t>
            </w:r>
            <w:r w:rsidR="003C31A0">
              <w:t>БО-03</w:t>
            </w:r>
            <w:r w:rsidRPr="00615814">
              <w:t>.</w:t>
            </w:r>
          </w:p>
          <w:p w:rsidR="00637F3F" w:rsidRPr="00615814" w:rsidRDefault="00637F3F" w:rsidP="00637F3F">
            <w:pPr>
              <w:jc w:val="both"/>
            </w:pPr>
            <w:r w:rsidRPr="00615814">
              <w:t xml:space="preserve">Иные условия выпуска: Иные условия размещения Биржевых облигаций серии </w:t>
            </w:r>
            <w:r w:rsidR="003C31A0">
              <w:t>БО-03</w:t>
            </w:r>
            <w:r w:rsidRPr="00615814">
              <w:t xml:space="preserve"> определяются Решением о выпуске ценных бумаг и Проспектом ценных бумаг.</w:t>
            </w:r>
          </w:p>
          <w:p w:rsidR="00637F3F" w:rsidRPr="00615814" w:rsidRDefault="00637F3F" w:rsidP="00637F3F">
            <w:pPr>
              <w:jc w:val="both"/>
            </w:pPr>
            <w:r w:rsidRPr="00615814">
              <w:t xml:space="preserve">Расходы, связанные с внесением приходных записей о зачислении размещаемых Биржевых облигаций серии </w:t>
            </w:r>
            <w:r w:rsidR="003C31A0">
              <w:t>БО-03</w:t>
            </w:r>
            <w:r w:rsidRPr="00615814">
              <w:t xml:space="preserve"> на счета депо в депозитарии, осуществляющем централизованное хранение Биржевых облигаций серии </w:t>
            </w:r>
            <w:r w:rsidR="003C31A0">
              <w:t>БО-03</w:t>
            </w:r>
            <w:r w:rsidRPr="00615814">
              <w:t xml:space="preserve">, их первых владельцев (приобретателей), несут первые владельцы (приобретатели) Биржевых облигаций серии </w:t>
            </w:r>
            <w:r w:rsidR="003C31A0">
              <w:t>БО-03</w:t>
            </w:r>
            <w:r w:rsidRPr="00615814">
              <w:t>.</w:t>
            </w:r>
          </w:p>
          <w:p w:rsidR="00C338A8" w:rsidRPr="0066769F" w:rsidRDefault="00C338A8" w:rsidP="000D119F">
            <w:pPr>
              <w:adjustRightInd w:val="0"/>
              <w:jc w:val="both"/>
              <w:rPr>
                <w:bCs/>
                <w:iCs/>
              </w:rPr>
            </w:pPr>
          </w:p>
          <w:p w:rsidR="000D119F" w:rsidRPr="0066769F" w:rsidRDefault="000D119F" w:rsidP="000D119F">
            <w:pPr>
              <w:adjustRightInd w:val="0"/>
              <w:jc w:val="both"/>
              <w:rPr>
                <w:color w:val="000000"/>
              </w:rPr>
            </w:pPr>
            <w:r w:rsidRPr="0066769F">
              <w:rPr>
                <w:bCs/>
                <w:iCs/>
              </w:rPr>
              <w:t>2.2.12.</w:t>
            </w:r>
            <w:r w:rsidRPr="0066769F">
              <w:t xml:space="preserve"> Предоставление участникам (акционерам) эмитента и (или) иным лицам преимущественного права приобретения ценных бумаг</w:t>
            </w:r>
            <w:r w:rsidR="000C306D" w:rsidRPr="0066769F">
              <w:t>:</w:t>
            </w:r>
            <w:r w:rsidR="000C306D" w:rsidRPr="0066769F">
              <w:rPr>
                <w:i/>
                <w:iCs/>
                <w:color w:val="515151"/>
              </w:rPr>
              <w:t xml:space="preserve"> </w:t>
            </w:r>
            <w:r w:rsidR="000C306D" w:rsidRPr="0066769F">
              <w:rPr>
                <w:iCs/>
                <w:color w:val="000000"/>
              </w:rPr>
              <w:t>Преимущественное право приобретения размещаемых ценных бумаг не предусмотрено.</w:t>
            </w:r>
          </w:p>
          <w:p w:rsidR="000C306D" w:rsidRPr="0066769F" w:rsidRDefault="000C306D" w:rsidP="000C306D">
            <w:pPr>
              <w:adjustRightInd w:val="0"/>
              <w:jc w:val="both"/>
            </w:pPr>
            <w:r w:rsidRPr="0066769F">
              <w:rPr>
                <w:bCs/>
                <w:iCs/>
              </w:rPr>
              <w:t>2.2.13. В</w:t>
            </w:r>
            <w:r w:rsidRPr="0066769F">
              <w:t xml:space="preserve">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w:t>
            </w:r>
          </w:p>
          <w:p w:rsidR="00623F11" w:rsidRPr="0066769F" w:rsidRDefault="000C306D" w:rsidP="000C306D">
            <w:pPr>
              <w:adjustRightInd w:val="0"/>
              <w:jc w:val="both"/>
              <w:rPr>
                <w:bCs/>
                <w:iCs/>
                <w:color w:val="000000"/>
              </w:rPr>
            </w:pPr>
            <w:r w:rsidRPr="0066769F">
              <w:rPr>
                <w:iCs/>
                <w:color w:val="000000"/>
              </w:rPr>
              <w:t>Регистрация проспекта ценных бумаг осуществляется эмитентом в обязательном порядке. Каждый этап процедуры эмиссии ценных бумаг сопровождается раскрытием информации в соответствии с частью 2 статьи 19 Федерального закона от 22.04.1996 № 39-ФЗ «О рынке ценных бумаг». </w:t>
            </w:r>
          </w:p>
        </w:tc>
      </w:tr>
      <w:tr w:rsidR="002F38FE" w:rsidRPr="0066769F">
        <w:trPr>
          <w:cantSplit/>
        </w:trPr>
        <w:tc>
          <w:tcPr>
            <w:tcW w:w="10235" w:type="dxa"/>
            <w:gridSpan w:val="12"/>
          </w:tcPr>
          <w:p w:rsidR="002F38FE" w:rsidRPr="0066769F" w:rsidRDefault="002F38FE">
            <w:pPr>
              <w:jc w:val="center"/>
            </w:pPr>
            <w:r w:rsidRPr="0066769F">
              <w:lastRenderedPageBreak/>
              <w:t>3. Подпись</w:t>
            </w:r>
          </w:p>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vAlign w:val="bottom"/>
          </w:tcPr>
          <w:p w:rsidR="002F38FE" w:rsidRPr="0066769F" w:rsidRDefault="002F38FE" w:rsidP="00F73EE6">
            <w:pPr>
              <w:spacing w:before="20"/>
              <w:ind w:left="85"/>
            </w:pPr>
            <w:r w:rsidRPr="0066769F">
              <w:t xml:space="preserve">3.1. </w:t>
            </w:r>
            <w:r w:rsidR="00F73EE6" w:rsidRPr="0066769F">
              <w:t>Генеральный директор ОАО «ЯТЭК»</w:t>
            </w:r>
          </w:p>
        </w:tc>
        <w:tc>
          <w:tcPr>
            <w:tcW w:w="1984" w:type="dxa"/>
            <w:gridSpan w:val="2"/>
            <w:tcBorders>
              <w:top w:val="single" w:sz="4" w:space="0" w:color="auto"/>
              <w:left w:val="nil"/>
              <w:bottom w:val="single" w:sz="4" w:space="0" w:color="auto"/>
              <w:right w:val="nil"/>
            </w:tcBorders>
            <w:vAlign w:val="bottom"/>
          </w:tcPr>
          <w:p w:rsidR="002F38FE" w:rsidRPr="0066769F" w:rsidRDefault="002F38FE">
            <w:pPr>
              <w:jc w:val="center"/>
            </w:pPr>
          </w:p>
        </w:tc>
        <w:tc>
          <w:tcPr>
            <w:tcW w:w="851" w:type="dxa"/>
            <w:tcBorders>
              <w:top w:val="single" w:sz="4" w:space="0" w:color="auto"/>
              <w:left w:val="nil"/>
              <w:bottom w:val="nil"/>
              <w:right w:val="nil"/>
            </w:tcBorders>
            <w:vAlign w:val="bottom"/>
          </w:tcPr>
          <w:p w:rsidR="002F38FE" w:rsidRPr="0066769F" w:rsidRDefault="002F38FE"/>
        </w:tc>
        <w:tc>
          <w:tcPr>
            <w:tcW w:w="2835" w:type="dxa"/>
            <w:tcBorders>
              <w:top w:val="single" w:sz="4" w:space="0" w:color="auto"/>
              <w:left w:val="nil"/>
              <w:bottom w:val="nil"/>
              <w:right w:val="nil"/>
            </w:tcBorders>
            <w:vAlign w:val="bottom"/>
          </w:tcPr>
          <w:p w:rsidR="002F38FE" w:rsidRPr="0066769F" w:rsidRDefault="00F73EE6">
            <w:pPr>
              <w:jc w:val="center"/>
            </w:pPr>
            <w:r w:rsidRPr="0066769F">
              <w:t>З.К.Юсупов</w:t>
            </w:r>
          </w:p>
        </w:tc>
        <w:tc>
          <w:tcPr>
            <w:tcW w:w="142" w:type="dxa"/>
            <w:tcBorders>
              <w:top w:val="single" w:sz="4" w:space="0" w:color="auto"/>
              <w:left w:val="nil"/>
              <w:bottom w:val="nil"/>
              <w:right w:val="single" w:sz="4" w:space="0" w:color="auto"/>
            </w:tcBorders>
            <w:vAlign w:val="bottom"/>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tcPr>
          <w:p w:rsidR="002F38FE" w:rsidRPr="0066769F" w:rsidRDefault="002F38FE">
            <w:pPr>
              <w:ind w:left="57"/>
            </w:pPr>
          </w:p>
        </w:tc>
        <w:tc>
          <w:tcPr>
            <w:tcW w:w="1984" w:type="dxa"/>
            <w:gridSpan w:val="2"/>
            <w:tcBorders>
              <w:top w:val="nil"/>
              <w:left w:val="nil"/>
              <w:bottom w:val="nil"/>
              <w:right w:val="nil"/>
            </w:tcBorders>
          </w:tcPr>
          <w:p w:rsidR="002F38FE" w:rsidRPr="0066769F" w:rsidRDefault="002F38FE">
            <w:pPr>
              <w:jc w:val="center"/>
            </w:pPr>
            <w:r w:rsidRPr="0066769F">
              <w:t>(подпись)</w:t>
            </w:r>
          </w:p>
        </w:tc>
        <w:tc>
          <w:tcPr>
            <w:tcW w:w="851" w:type="dxa"/>
            <w:tcBorders>
              <w:top w:val="nil"/>
              <w:left w:val="nil"/>
              <w:bottom w:val="nil"/>
              <w:right w:val="nil"/>
            </w:tcBorders>
          </w:tcPr>
          <w:p w:rsidR="002F38FE" w:rsidRPr="0066769F" w:rsidRDefault="002F38FE"/>
        </w:tc>
        <w:tc>
          <w:tcPr>
            <w:tcW w:w="2835" w:type="dxa"/>
            <w:tcBorders>
              <w:top w:val="nil"/>
              <w:left w:val="nil"/>
              <w:bottom w:val="nil"/>
              <w:right w:val="nil"/>
            </w:tcBorders>
          </w:tcPr>
          <w:p w:rsidR="002F38FE" w:rsidRPr="0066769F" w:rsidRDefault="002F38FE"/>
        </w:tc>
        <w:tc>
          <w:tcPr>
            <w:tcW w:w="142" w:type="dxa"/>
            <w:tcBorders>
              <w:top w:val="nil"/>
              <w:left w:val="nil"/>
              <w:bottom w:val="nil"/>
              <w:right w:val="single" w:sz="4" w:space="0" w:color="auto"/>
            </w:tcBorders>
          </w:tcPr>
          <w:p w:rsidR="002F38FE" w:rsidRPr="0066769F" w:rsidRDefault="002F38FE"/>
        </w:tc>
      </w:tr>
      <w:tr w:rsidR="002F38FE" w:rsidRPr="00667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vAlign w:val="bottom"/>
          </w:tcPr>
          <w:p w:rsidR="002F38FE" w:rsidRPr="0066769F" w:rsidRDefault="002F38FE">
            <w:pPr>
              <w:ind w:left="57"/>
            </w:pPr>
            <w:r w:rsidRPr="0066769F">
              <w:t>3.2. Дата “</w:t>
            </w:r>
          </w:p>
        </w:tc>
        <w:tc>
          <w:tcPr>
            <w:tcW w:w="448" w:type="dxa"/>
            <w:tcBorders>
              <w:top w:val="nil"/>
              <w:left w:val="nil"/>
              <w:bottom w:val="single" w:sz="4" w:space="0" w:color="auto"/>
              <w:right w:val="nil"/>
            </w:tcBorders>
            <w:vAlign w:val="bottom"/>
          </w:tcPr>
          <w:p w:rsidR="002F38FE" w:rsidRPr="0066769F" w:rsidRDefault="00E80A96" w:rsidP="00623F11">
            <w:pPr>
              <w:jc w:val="center"/>
              <w:rPr>
                <w:highlight w:val="yellow"/>
              </w:rPr>
            </w:pPr>
            <w:r w:rsidRPr="0066769F">
              <w:t>30</w:t>
            </w:r>
          </w:p>
        </w:tc>
        <w:tc>
          <w:tcPr>
            <w:tcW w:w="293" w:type="dxa"/>
            <w:tcBorders>
              <w:top w:val="nil"/>
              <w:left w:val="nil"/>
              <w:bottom w:val="nil"/>
              <w:right w:val="nil"/>
            </w:tcBorders>
            <w:vAlign w:val="bottom"/>
          </w:tcPr>
          <w:p w:rsidR="002F38FE" w:rsidRPr="0066769F" w:rsidRDefault="002F38FE">
            <w:r w:rsidRPr="0066769F">
              <w:t>”</w:t>
            </w:r>
          </w:p>
        </w:tc>
        <w:tc>
          <w:tcPr>
            <w:tcW w:w="1318" w:type="dxa"/>
            <w:tcBorders>
              <w:top w:val="nil"/>
              <w:left w:val="nil"/>
              <w:bottom w:val="single" w:sz="4" w:space="0" w:color="auto"/>
              <w:right w:val="nil"/>
            </w:tcBorders>
            <w:vAlign w:val="bottom"/>
          </w:tcPr>
          <w:p w:rsidR="002F38FE" w:rsidRPr="0066769F" w:rsidRDefault="00E80A96" w:rsidP="00B06FA5">
            <w:pPr>
              <w:jc w:val="center"/>
            </w:pPr>
            <w:r w:rsidRPr="0066769F">
              <w:t>октября</w:t>
            </w:r>
          </w:p>
        </w:tc>
        <w:tc>
          <w:tcPr>
            <w:tcW w:w="415" w:type="dxa"/>
            <w:tcBorders>
              <w:top w:val="nil"/>
              <w:left w:val="nil"/>
              <w:bottom w:val="nil"/>
              <w:right w:val="nil"/>
            </w:tcBorders>
            <w:vAlign w:val="bottom"/>
          </w:tcPr>
          <w:p w:rsidR="002F38FE" w:rsidRPr="0066769F" w:rsidRDefault="002F38FE">
            <w:pPr>
              <w:jc w:val="right"/>
            </w:pPr>
            <w:r w:rsidRPr="0066769F">
              <w:t>20</w:t>
            </w:r>
          </w:p>
        </w:tc>
        <w:tc>
          <w:tcPr>
            <w:tcW w:w="307" w:type="dxa"/>
            <w:tcBorders>
              <w:top w:val="nil"/>
              <w:left w:val="nil"/>
              <w:bottom w:val="single" w:sz="4" w:space="0" w:color="auto"/>
              <w:right w:val="nil"/>
            </w:tcBorders>
            <w:vAlign w:val="bottom"/>
          </w:tcPr>
          <w:p w:rsidR="002F38FE" w:rsidRPr="0066769F" w:rsidRDefault="00384929" w:rsidP="00F73EE6">
            <w:r w:rsidRPr="0066769F">
              <w:t>1</w:t>
            </w:r>
            <w:r w:rsidR="00F73EE6" w:rsidRPr="0066769F">
              <w:t>2</w:t>
            </w:r>
          </w:p>
        </w:tc>
        <w:tc>
          <w:tcPr>
            <w:tcW w:w="412" w:type="dxa"/>
            <w:tcBorders>
              <w:top w:val="nil"/>
              <w:left w:val="nil"/>
              <w:bottom w:val="nil"/>
              <w:right w:val="nil"/>
            </w:tcBorders>
            <w:vAlign w:val="bottom"/>
          </w:tcPr>
          <w:p w:rsidR="002F38FE" w:rsidRPr="0066769F" w:rsidRDefault="002F38FE" w:rsidP="00A425BD">
            <w:proofErr w:type="gramStart"/>
            <w:r w:rsidRPr="0066769F">
              <w:t>г</w:t>
            </w:r>
            <w:proofErr w:type="gramEnd"/>
            <w:r w:rsidRPr="0066769F">
              <w:t>.</w:t>
            </w:r>
          </w:p>
        </w:tc>
        <w:tc>
          <w:tcPr>
            <w:tcW w:w="1984" w:type="dxa"/>
            <w:gridSpan w:val="2"/>
            <w:tcBorders>
              <w:top w:val="nil"/>
              <w:left w:val="nil"/>
              <w:bottom w:val="nil"/>
              <w:right w:val="nil"/>
            </w:tcBorders>
            <w:vAlign w:val="bottom"/>
          </w:tcPr>
          <w:p w:rsidR="002F38FE" w:rsidRPr="0066769F" w:rsidRDefault="002F38FE">
            <w:pPr>
              <w:jc w:val="center"/>
            </w:pPr>
            <w:r w:rsidRPr="0066769F">
              <w:t>М.П.</w:t>
            </w:r>
          </w:p>
        </w:tc>
        <w:tc>
          <w:tcPr>
            <w:tcW w:w="3828" w:type="dxa"/>
            <w:gridSpan w:val="3"/>
            <w:tcBorders>
              <w:top w:val="nil"/>
              <w:left w:val="nil"/>
              <w:bottom w:val="nil"/>
              <w:right w:val="single" w:sz="4" w:space="0" w:color="auto"/>
            </w:tcBorders>
            <w:vAlign w:val="bottom"/>
          </w:tcPr>
          <w:p w:rsidR="002F38FE" w:rsidRPr="0066769F" w:rsidRDefault="002F38FE"/>
        </w:tc>
      </w:tr>
      <w:tr w:rsidR="002F38FE" w:rsidRPr="0066769F" w:rsidTr="003B7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4423" w:type="dxa"/>
            <w:gridSpan w:val="7"/>
            <w:tcBorders>
              <w:top w:val="nil"/>
              <w:left w:val="single" w:sz="4" w:space="0" w:color="auto"/>
              <w:bottom w:val="single" w:sz="4" w:space="0" w:color="auto"/>
              <w:right w:val="nil"/>
            </w:tcBorders>
          </w:tcPr>
          <w:p w:rsidR="002F38FE" w:rsidRPr="0066769F" w:rsidRDefault="002F38FE">
            <w:pPr>
              <w:ind w:left="57"/>
            </w:pPr>
          </w:p>
        </w:tc>
        <w:tc>
          <w:tcPr>
            <w:tcW w:w="1984" w:type="dxa"/>
            <w:gridSpan w:val="2"/>
            <w:tcBorders>
              <w:top w:val="nil"/>
              <w:left w:val="nil"/>
              <w:bottom w:val="single" w:sz="4" w:space="0" w:color="auto"/>
              <w:right w:val="nil"/>
            </w:tcBorders>
          </w:tcPr>
          <w:p w:rsidR="002F38FE" w:rsidRPr="0066769F" w:rsidRDefault="002F38FE">
            <w:pPr>
              <w:jc w:val="center"/>
            </w:pPr>
          </w:p>
        </w:tc>
        <w:tc>
          <w:tcPr>
            <w:tcW w:w="3828" w:type="dxa"/>
            <w:gridSpan w:val="3"/>
            <w:tcBorders>
              <w:top w:val="nil"/>
              <w:left w:val="nil"/>
              <w:bottom w:val="single" w:sz="4" w:space="0" w:color="auto"/>
              <w:right w:val="single" w:sz="4" w:space="0" w:color="auto"/>
            </w:tcBorders>
          </w:tcPr>
          <w:p w:rsidR="002F38FE" w:rsidRPr="0066769F" w:rsidRDefault="002F38FE"/>
        </w:tc>
      </w:tr>
    </w:tbl>
    <w:p w:rsidR="002F38FE" w:rsidRPr="0066769F" w:rsidRDefault="002F38FE" w:rsidP="00870E6A"/>
    <w:p w:rsidR="00686FDA" w:rsidRPr="0066769F" w:rsidRDefault="00686FDA" w:rsidP="00870E6A"/>
    <w:sectPr w:rsidR="00686FDA" w:rsidRPr="0066769F" w:rsidSect="00870E6A">
      <w:headerReference w:type="default" r:id="rId10"/>
      <w:pgSz w:w="11906" w:h="16838"/>
      <w:pgMar w:top="426" w:right="567" w:bottom="142" w:left="1134" w:header="397" w:footer="283"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DC" w:rsidRDefault="001D00DC">
      <w:r>
        <w:separator/>
      </w:r>
    </w:p>
  </w:endnote>
  <w:endnote w:type="continuationSeparator" w:id="0">
    <w:p w:rsidR="001D00DC" w:rsidRDefault="001D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DC" w:rsidRDefault="001D00DC">
      <w:r>
        <w:separator/>
      </w:r>
    </w:p>
  </w:footnote>
  <w:footnote w:type="continuationSeparator" w:id="0">
    <w:p w:rsidR="001D00DC" w:rsidRDefault="001D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9F" w:rsidRDefault="000D119F" w:rsidP="00BD58A4">
    <w:pPr>
      <w:pStyle w:val="a3"/>
      <w:rPr>
        <w:szCs w:val="14"/>
      </w:rPr>
    </w:pPr>
  </w:p>
  <w:p w:rsidR="000D119F" w:rsidRPr="00BD58A4" w:rsidRDefault="000D119F" w:rsidP="00BD58A4">
    <w:pPr>
      <w:pStyle w:val="a3"/>
      <w:rPr>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2C4"/>
    <w:multiLevelType w:val="hybridMultilevel"/>
    <w:tmpl w:val="5E403614"/>
    <w:lvl w:ilvl="0" w:tplc="75E8DCC0">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36DC6735"/>
    <w:multiLevelType w:val="hybridMultilevel"/>
    <w:tmpl w:val="5D6C4DB4"/>
    <w:lvl w:ilvl="0" w:tplc="352682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B5D"/>
    <w:multiLevelType w:val="multilevel"/>
    <w:tmpl w:val="F8AED402"/>
    <w:lvl w:ilvl="0">
      <w:start w:val="2"/>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3">
    <w:nsid w:val="49935A2C"/>
    <w:multiLevelType w:val="hybridMultilevel"/>
    <w:tmpl w:val="1174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E3C0D"/>
    <w:multiLevelType w:val="hybridMultilevel"/>
    <w:tmpl w:val="96DCFB0C"/>
    <w:lvl w:ilvl="0" w:tplc="B5421A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EE764D"/>
    <w:multiLevelType w:val="multilevel"/>
    <w:tmpl w:val="5A76E53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58A4"/>
    <w:rsid w:val="00052ACD"/>
    <w:rsid w:val="00071A48"/>
    <w:rsid w:val="000722A8"/>
    <w:rsid w:val="00092F39"/>
    <w:rsid w:val="000A76F0"/>
    <w:rsid w:val="000B4352"/>
    <w:rsid w:val="000C306D"/>
    <w:rsid w:val="000D0D7B"/>
    <w:rsid w:val="000D119F"/>
    <w:rsid w:val="000D7002"/>
    <w:rsid w:val="000E1416"/>
    <w:rsid w:val="000F600E"/>
    <w:rsid w:val="001138A3"/>
    <w:rsid w:val="00145B8A"/>
    <w:rsid w:val="00171883"/>
    <w:rsid w:val="00186126"/>
    <w:rsid w:val="001940B3"/>
    <w:rsid w:val="001B3A7B"/>
    <w:rsid w:val="001C67E3"/>
    <w:rsid w:val="001D00DC"/>
    <w:rsid w:val="001F1961"/>
    <w:rsid w:val="002059F6"/>
    <w:rsid w:val="002509BA"/>
    <w:rsid w:val="002544EC"/>
    <w:rsid w:val="00265B5A"/>
    <w:rsid w:val="002B58DC"/>
    <w:rsid w:val="002F1819"/>
    <w:rsid w:val="002F38FE"/>
    <w:rsid w:val="002F4731"/>
    <w:rsid w:val="00306A0A"/>
    <w:rsid w:val="00384929"/>
    <w:rsid w:val="00390C98"/>
    <w:rsid w:val="00397828"/>
    <w:rsid w:val="003B73DA"/>
    <w:rsid w:val="003C3139"/>
    <w:rsid w:val="003C31A0"/>
    <w:rsid w:val="003C39B1"/>
    <w:rsid w:val="003C4BED"/>
    <w:rsid w:val="003E34AC"/>
    <w:rsid w:val="003E5768"/>
    <w:rsid w:val="004261EB"/>
    <w:rsid w:val="00426E13"/>
    <w:rsid w:val="004561A1"/>
    <w:rsid w:val="004C6A9B"/>
    <w:rsid w:val="004D2189"/>
    <w:rsid w:val="004E430A"/>
    <w:rsid w:val="004E7132"/>
    <w:rsid w:val="004F30D5"/>
    <w:rsid w:val="00517174"/>
    <w:rsid w:val="0054558E"/>
    <w:rsid w:val="0056142F"/>
    <w:rsid w:val="00583373"/>
    <w:rsid w:val="005A050B"/>
    <w:rsid w:val="005C7B56"/>
    <w:rsid w:val="00616739"/>
    <w:rsid w:val="00623F11"/>
    <w:rsid w:val="00637F3F"/>
    <w:rsid w:val="00664538"/>
    <w:rsid w:val="0066769F"/>
    <w:rsid w:val="00682827"/>
    <w:rsid w:val="00686FDA"/>
    <w:rsid w:val="006A265F"/>
    <w:rsid w:val="006B7050"/>
    <w:rsid w:val="006D5E21"/>
    <w:rsid w:val="006E1EB3"/>
    <w:rsid w:val="006F7707"/>
    <w:rsid w:val="00722087"/>
    <w:rsid w:val="00733BA8"/>
    <w:rsid w:val="00762D12"/>
    <w:rsid w:val="00776E6F"/>
    <w:rsid w:val="0078140B"/>
    <w:rsid w:val="00791345"/>
    <w:rsid w:val="007B2CF1"/>
    <w:rsid w:val="00812772"/>
    <w:rsid w:val="00833697"/>
    <w:rsid w:val="00843B3B"/>
    <w:rsid w:val="00860761"/>
    <w:rsid w:val="00870E6A"/>
    <w:rsid w:val="008C434E"/>
    <w:rsid w:val="008E3AE3"/>
    <w:rsid w:val="00913C11"/>
    <w:rsid w:val="0093732F"/>
    <w:rsid w:val="009433BA"/>
    <w:rsid w:val="00945030"/>
    <w:rsid w:val="00980266"/>
    <w:rsid w:val="00995559"/>
    <w:rsid w:val="009E270E"/>
    <w:rsid w:val="00A02593"/>
    <w:rsid w:val="00A1685A"/>
    <w:rsid w:val="00A173BF"/>
    <w:rsid w:val="00A23E3C"/>
    <w:rsid w:val="00A34FDD"/>
    <w:rsid w:val="00A425BD"/>
    <w:rsid w:val="00A60F23"/>
    <w:rsid w:val="00A708B0"/>
    <w:rsid w:val="00A81DA2"/>
    <w:rsid w:val="00A968E1"/>
    <w:rsid w:val="00AA5F46"/>
    <w:rsid w:val="00B06FA5"/>
    <w:rsid w:val="00B454D8"/>
    <w:rsid w:val="00B616EA"/>
    <w:rsid w:val="00B8101C"/>
    <w:rsid w:val="00BD58A4"/>
    <w:rsid w:val="00BE6CDD"/>
    <w:rsid w:val="00BF2DEE"/>
    <w:rsid w:val="00BF3FFB"/>
    <w:rsid w:val="00BF4AE1"/>
    <w:rsid w:val="00C1029F"/>
    <w:rsid w:val="00C261DE"/>
    <w:rsid w:val="00C26D06"/>
    <w:rsid w:val="00C338A8"/>
    <w:rsid w:val="00C50CE1"/>
    <w:rsid w:val="00C52E83"/>
    <w:rsid w:val="00C628F3"/>
    <w:rsid w:val="00C67157"/>
    <w:rsid w:val="00C70FCA"/>
    <w:rsid w:val="00C87330"/>
    <w:rsid w:val="00C9291B"/>
    <w:rsid w:val="00CA00AA"/>
    <w:rsid w:val="00CC3E60"/>
    <w:rsid w:val="00CF42ED"/>
    <w:rsid w:val="00D542FB"/>
    <w:rsid w:val="00D720BD"/>
    <w:rsid w:val="00D75865"/>
    <w:rsid w:val="00D7588E"/>
    <w:rsid w:val="00DA3F85"/>
    <w:rsid w:val="00DD177A"/>
    <w:rsid w:val="00DF79EE"/>
    <w:rsid w:val="00E16CA9"/>
    <w:rsid w:val="00E578AE"/>
    <w:rsid w:val="00E80A96"/>
    <w:rsid w:val="00E87896"/>
    <w:rsid w:val="00EE50A1"/>
    <w:rsid w:val="00EE7137"/>
    <w:rsid w:val="00EF135F"/>
    <w:rsid w:val="00EF72D2"/>
    <w:rsid w:val="00F21804"/>
    <w:rsid w:val="00F30CF1"/>
    <w:rsid w:val="00F429F2"/>
    <w:rsid w:val="00F468C9"/>
    <w:rsid w:val="00F62BE2"/>
    <w:rsid w:val="00F723B5"/>
    <w:rsid w:val="00F73EE6"/>
    <w:rsid w:val="00F872AB"/>
    <w:rsid w:val="00F94746"/>
    <w:rsid w:val="00FA4249"/>
    <w:rsid w:val="00FD3508"/>
    <w:rsid w:val="00FF5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3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45030"/>
    <w:pPr>
      <w:autoSpaceDE w:val="0"/>
      <w:autoSpaceDN w:val="0"/>
      <w:ind w:right="19771" w:firstLine="539"/>
      <w:jc w:val="both"/>
    </w:pPr>
    <w:rPr>
      <w:rFonts w:ascii="Courier New" w:hAnsi="Courier New" w:cs="Courier New"/>
      <w:lang w:val="en-US"/>
    </w:rPr>
  </w:style>
  <w:style w:type="paragraph" w:customStyle="1" w:styleId="ConsNonformat">
    <w:name w:val="ConsNonformat"/>
    <w:rsid w:val="00945030"/>
    <w:pPr>
      <w:widowControl w:val="0"/>
      <w:autoSpaceDE w:val="0"/>
      <w:autoSpaceDN w:val="0"/>
      <w:jc w:val="both"/>
    </w:pPr>
    <w:rPr>
      <w:rFonts w:ascii="Courier New" w:hAnsi="Courier New" w:cs="Courier New"/>
    </w:rPr>
  </w:style>
  <w:style w:type="paragraph" w:styleId="a3">
    <w:name w:val="header"/>
    <w:basedOn w:val="a"/>
    <w:rsid w:val="00945030"/>
    <w:pPr>
      <w:tabs>
        <w:tab w:val="center" w:pos="4153"/>
        <w:tab w:val="right" w:pos="8306"/>
      </w:tabs>
    </w:pPr>
  </w:style>
  <w:style w:type="paragraph" w:styleId="a4">
    <w:name w:val="footer"/>
    <w:basedOn w:val="a"/>
    <w:rsid w:val="00945030"/>
    <w:pPr>
      <w:tabs>
        <w:tab w:val="center" w:pos="4153"/>
        <w:tab w:val="right" w:pos="8306"/>
      </w:tabs>
    </w:pPr>
  </w:style>
  <w:style w:type="paragraph" w:customStyle="1" w:styleId="msolistparagraph0">
    <w:name w:val="msolistparagraph"/>
    <w:basedOn w:val="a"/>
    <w:rsid w:val="00F94746"/>
    <w:pPr>
      <w:autoSpaceDE/>
      <w:autoSpaceDN/>
      <w:ind w:left="720"/>
    </w:pPr>
    <w:rPr>
      <w:rFonts w:ascii="Calibri" w:hAnsi="Calibri"/>
      <w:sz w:val="22"/>
      <w:szCs w:val="22"/>
    </w:rPr>
  </w:style>
  <w:style w:type="paragraph" w:styleId="a5">
    <w:name w:val="Normal (Web)"/>
    <w:basedOn w:val="a"/>
    <w:rsid w:val="00F94746"/>
    <w:pPr>
      <w:autoSpaceDE/>
      <w:autoSpaceDN/>
    </w:pPr>
    <w:rPr>
      <w:sz w:val="24"/>
      <w:szCs w:val="24"/>
    </w:rPr>
  </w:style>
  <w:style w:type="paragraph" w:styleId="a6">
    <w:name w:val="List Paragraph"/>
    <w:basedOn w:val="a"/>
    <w:uiPriority w:val="99"/>
    <w:qFormat/>
    <w:rsid w:val="00F73EE6"/>
    <w:pPr>
      <w:autoSpaceDE/>
      <w:autoSpaceDN/>
      <w:spacing w:after="200" w:line="276" w:lineRule="auto"/>
      <w:ind w:left="720"/>
      <w:contextualSpacing/>
    </w:pPr>
    <w:rPr>
      <w:rFonts w:ascii="Calibri" w:hAnsi="Calibri"/>
      <w:sz w:val="22"/>
      <w:szCs w:val="22"/>
    </w:rPr>
  </w:style>
  <w:style w:type="paragraph" w:styleId="a7">
    <w:name w:val="Plain Text"/>
    <w:basedOn w:val="a"/>
    <w:link w:val="a8"/>
    <w:uiPriority w:val="99"/>
    <w:rsid w:val="00F73EE6"/>
    <w:pPr>
      <w:autoSpaceDE/>
      <w:autoSpaceDN/>
    </w:pPr>
    <w:rPr>
      <w:rFonts w:ascii="Consolas" w:eastAsia="Calibri" w:hAnsi="Consolas"/>
      <w:sz w:val="21"/>
      <w:szCs w:val="21"/>
      <w:lang w:eastAsia="en-US"/>
    </w:rPr>
  </w:style>
  <w:style w:type="character" w:customStyle="1" w:styleId="a8">
    <w:name w:val="Текст Знак"/>
    <w:basedOn w:val="a0"/>
    <w:link w:val="a7"/>
    <w:uiPriority w:val="99"/>
    <w:rsid w:val="00F73EE6"/>
    <w:rPr>
      <w:rFonts w:ascii="Consolas" w:eastAsia="Calibri" w:hAnsi="Consolas"/>
      <w:sz w:val="21"/>
      <w:szCs w:val="21"/>
      <w:lang w:eastAsia="en-US"/>
    </w:rPr>
  </w:style>
  <w:style w:type="paragraph" w:customStyle="1" w:styleId="ConsPlusNormal">
    <w:name w:val="ConsPlusNormal"/>
    <w:rsid w:val="002544EC"/>
    <w:pPr>
      <w:autoSpaceDE w:val="0"/>
      <w:autoSpaceDN w:val="0"/>
      <w:adjustRightInd w:val="0"/>
      <w:ind w:firstLine="720"/>
    </w:pPr>
    <w:rPr>
      <w:rFonts w:ascii="Arial" w:hAnsi="Arial" w:cs="Arial"/>
    </w:rPr>
  </w:style>
  <w:style w:type="paragraph" w:styleId="a9">
    <w:name w:val="Balloon Text"/>
    <w:basedOn w:val="a"/>
    <w:link w:val="aa"/>
    <w:rsid w:val="00860761"/>
    <w:rPr>
      <w:rFonts w:ascii="Tahoma" w:hAnsi="Tahoma" w:cs="Tahoma"/>
      <w:sz w:val="16"/>
      <w:szCs w:val="16"/>
    </w:rPr>
  </w:style>
  <w:style w:type="character" w:customStyle="1" w:styleId="aa">
    <w:name w:val="Текст выноски Знак"/>
    <w:basedOn w:val="a0"/>
    <w:link w:val="a9"/>
    <w:rsid w:val="00860761"/>
    <w:rPr>
      <w:rFonts w:ascii="Tahoma" w:hAnsi="Tahoma" w:cs="Tahoma"/>
      <w:sz w:val="16"/>
      <w:szCs w:val="16"/>
    </w:rPr>
  </w:style>
  <w:style w:type="character" w:customStyle="1" w:styleId="newstextlink1">
    <w:name w:val="newstextlink1"/>
    <w:basedOn w:val="a0"/>
    <w:rsid w:val="00E578AE"/>
    <w:rPr>
      <w:strike w:val="0"/>
      <w:dstrike w:val="0"/>
      <w:color w:val="000000"/>
      <w:sz w:val="17"/>
      <w:szCs w:val="17"/>
      <w:u w:val="none"/>
      <w:effect w:val="none"/>
    </w:rPr>
  </w:style>
  <w:style w:type="character" w:customStyle="1" w:styleId="headertext1">
    <w:name w:val="headertext1"/>
    <w:basedOn w:val="a0"/>
    <w:rsid w:val="00C67157"/>
    <w:rPr>
      <w:rFonts w:ascii="Tahoma" w:hAnsi="Tahoma" w:cs="Tahoma" w:hint="default"/>
      <w:b/>
      <w:bCs/>
      <w:color w:val="000000"/>
      <w:sz w:val="18"/>
      <w:szCs w:val="18"/>
    </w:rPr>
  </w:style>
  <w:style w:type="character" w:customStyle="1" w:styleId="SUBST">
    <w:name w:val="__SUBST"/>
    <w:rsid w:val="0078140B"/>
    <w:rPr>
      <w:b/>
      <w:bCs/>
      <w:i/>
      <w:iCs/>
      <w:sz w:val="22"/>
      <w:szCs w:val="22"/>
    </w:rPr>
  </w:style>
  <w:style w:type="paragraph" w:customStyle="1" w:styleId="6">
    <w:name w:val="Обычный6"/>
    <w:uiPriority w:val="99"/>
    <w:rsid w:val="00F872AB"/>
    <w:pPr>
      <w:suppressAutoHyphens/>
      <w:autoSpaceDE w:val="0"/>
    </w:pPr>
    <w:rPr>
      <w:rFonts w:cs="Calibri"/>
      <w:lang w:val="en-GB" w:eastAsia="ar-SA"/>
    </w:rPr>
  </w:style>
  <w:style w:type="paragraph" w:styleId="3">
    <w:name w:val="Body Text 3"/>
    <w:basedOn w:val="a"/>
    <w:link w:val="30"/>
    <w:rsid w:val="00E80A96"/>
    <w:pPr>
      <w:autoSpaceDE/>
      <w:autoSpaceDN/>
      <w:spacing w:after="120"/>
    </w:pPr>
    <w:rPr>
      <w:sz w:val="16"/>
      <w:szCs w:val="16"/>
    </w:rPr>
  </w:style>
  <w:style w:type="character" w:customStyle="1" w:styleId="30">
    <w:name w:val="Основной текст 3 Знак"/>
    <w:basedOn w:val="a0"/>
    <w:link w:val="3"/>
    <w:rsid w:val="00E80A96"/>
    <w:rPr>
      <w:sz w:val="16"/>
      <w:szCs w:val="16"/>
    </w:rPr>
  </w:style>
  <w:style w:type="character" w:styleId="ab">
    <w:name w:val="Strong"/>
    <w:basedOn w:val="a0"/>
    <w:qFormat/>
    <w:rsid w:val="00E80A96"/>
    <w:rPr>
      <w:b/>
      <w:bCs/>
    </w:rPr>
  </w:style>
  <w:style w:type="character" w:styleId="ac">
    <w:name w:val="Hyperlink"/>
    <w:basedOn w:val="a0"/>
    <w:rsid w:val="00E80A96"/>
    <w:rPr>
      <w:color w:val="0000FF"/>
      <w:u w:val="single"/>
    </w:rPr>
  </w:style>
</w:styles>
</file>

<file path=word/webSettings.xml><?xml version="1.0" encoding="utf-8"?>
<w:webSettings xmlns:r="http://schemas.openxmlformats.org/officeDocument/2006/relationships" xmlns:w="http://schemas.openxmlformats.org/wordprocessingml/2006/main">
  <w:divs>
    <w:div w:id="18699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t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closure.ru/portal/company.aspx?id=4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3A63-6FEA-4829-A316-B2B73D66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1817</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Приложение 18</vt:lpstr>
    </vt:vector>
  </TitlesOfParts>
  <Company/>
  <LinksUpToDate>false</LinksUpToDate>
  <CharactersWithSpaces>14149</CharactersWithSpaces>
  <SharedDoc>false</SharedDoc>
  <HLinks>
    <vt:vector size="12" baseType="variant">
      <vt:variant>
        <vt:i4>3014771</vt:i4>
      </vt:variant>
      <vt:variant>
        <vt:i4>3</vt:i4>
      </vt:variant>
      <vt:variant>
        <vt:i4>0</vt:i4>
      </vt:variant>
      <vt:variant>
        <vt:i4>5</vt:i4>
      </vt:variant>
      <vt:variant>
        <vt:lpwstr>http://www.e-disclosure.ru/portal/company.aspx?id=4994</vt:lpwstr>
      </vt:variant>
      <vt:variant>
        <vt:lpwstr/>
      </vt:variant>
      <vt:variant>
        <vt:i4>1572879</vt:i4>
      </vt:variant>
      <vt:variant>
        <vt:i4>0</vt:i4>
      </vt:variant>
      <vt:variant>
        <vt:i4>0</vt:i4>
      </vt:variant>
      <vt:variant>
        <vt:i4>5</vt:i4>
      </vt:variant>
      <vt:variant>
        <vt:lpwstr>http://www.yatec.ru/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18</dc:title>
  <dc:subject/>
  <dc:creator>Prof-SlejovaNA</dc:creator>
  <cp:keywords/>
  <cp:lastModifiedBy>Your User Name</cp:lastModifiedBy>
  <cp:revision>3</cp:revision>
  <cp:lastPrinted>2012-10-30T09:14:00Z</cp:lastPrinted>
  <dcterms:created xsi:type="dcterms:W3CDTF">2012-10-30T12:22:00Z</dcterms:created>
  <dcterms:modified xsi:type="dcterms:W3CDTF">2012-10-30T12:42:00Z</dcterms:modified>
</cp:coreProperties>
</file>