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0369F6"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0369F6"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345E5E">
              <w:rPr>
                <w:sz w:val="19"/>
                <w:szCs w:val="19"/>
              </w:rPr>
              <w:t>получе</w:t>
            </w:r>
            <w:r w:rsidR="0057211D">
              <w:rPr>
                <w:sz w:val="19"/>
                <w:szCs w:val="19"/>
              </w:rPr>
              <w:t>ние дивидендов за 2014 финансовый год</w:t>
            </w:r>
            <w:r w:rsidR="00345E5E">
              <w:rPr>
                <w:sz w:val="19"/>
                <w:szCs w:val="19"/>
              </w:rPr>
              <w:t>.</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57211D">
              <w:rPr>
                <w:sz w:val="19"/>
                <w:szCs w:val="19"/>
              </w:rPr>
              <w:t>12</w:t>
            </w:r>
            <w:r w:rsidR="001D61C4">
              <w:rPr>
                <w:sz w:val="19"/>
                <w:szCs w:val="19"/>
              </w:rPr>
              <w:t xml:space="preserve"> </w:t>
            </w:r>
            <w:r w:rsidR="0057211D">
              <w:rPr>
                <w:sz w:val="19"/>
                <w:szCs w:val="19"/>
              </w:rPr>
              <w:t>июня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57211D">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57211D">
              <w:rPr>
                <w:sz w:val="19"/>
                <w:szCs w:val="19"/>
              </w:rPr>
              <w:t xml:space="preserve">Годового </w:t>
            </w:r>
            <w:r w:rsidR="00345E5E">
              <w:rPr>
                <w:sz w:val="19"/>
                <w:szCs w:val="19"/>
              </w:rPr>
              <w:t xml:space="preserve">общего собрания </w:t>
            </w:r>
            <w:proofErr w:type="gramStart"/>
            <w:r w:rsidR="00345E5E">
              <w:rPr>
                <w:sz w:val="19"/>
                <w:szCs w:val="19"/>
              </w:rPr>
              <w:t>акционеров</w:t>
            </w:r>
            <w:r w:rsidR="00636435">
              <w:rPr>
                <w:sz w:val="19"/>
                <w:szCs w:val="19"/>
              </w:rPr>
              <w:t xml:space="preserve"> б</w:t>
            </w:r>
            <w:proofErr w:type="gramEnd"/>
            <w:r w:rsidR="00636435">
              <w:rPr>
                <w:sz w:val="19"/>
                <w:szCs w:val="19"/>
              </w:rPr>
              <w:t xml:space="preserve">/н от </w:t>
            </w:r>
            <w:r w:rsidR="0057211D">
              <w:rPr>
                <w:sz w:val="19"/>
                <w:szCs w:val="19"/>
              </w:rPr>
              <w:t>02.06</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57211D" w:rsidP="00BA3A29">
            <w:pPr>
              <w:jc w:val="center"/>
              <w:rPr>
                <w:sz w:val="19"/>
                <w:szCs w:val="19"/>
                <w:highlight w:val="yellow"/>
              </w:rPr>
            </w:pPr>
            <w:r>
              <w:rPr>
                <w:sz w:val="19"/>
                <w:szCs w:val="19"/>
              </w:rPr>
              <w:t>03</w:t>
            </w:r>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57211D" w:rsidP="00BA3A29">
            <w:pPr>
              <w:jc w:val="center"/>
              <w:rPr>
                <w:sz w:val="19"/>
                <w:szCs w:val="19"/>
              </w:rPr>
            </w:pPr>
            <w:r>
              <w:rPr>
                <w:sz w:val="19"/>
                <w:szCs w:val="19"/>
              </w:rPr>
              <w:t>июня</w:t>
            </w:r>
            <w:bookmarkStart w:id="0" w:name="_GoBack"/>
            <w:bookmarkEnd w:id="0"/>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0369F6" w:rsidP="00A066A1">
    <w:pPr>
      <w:pStyle w:val="a3"/>
      <w:rPr>
        <w:szCs w:val="14"/>
      </w:rPr>
    </w:pPr>
  </w:p>
  <w:p w:rsidR="00A066A1" w:rsidRPr="00BD58A4" w:rsidRDefault="000369F6"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Babich, Olga</cp:lastModifiedBy>
  <cp:revision>2</cp:revision>
  <dcterms:created xsi:type="dcterms:W3CDTF">2015-06-03T12:37:00Z</dcterms:created>
  <dcterms:modified xsi:type="dcterms:W3CDTF">2015-06-03T12:37:00Z</dcterms:modified>
</cp:coreProperties>
</file>