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5E" w:rsidRPr="00050989" w:rsidRDefault="002A4625" w:rsidP="002A4625">
      <w:pPr>
        <w:jc w:val="center"/>
        <w:rPr>
          <w:b/>
          <w:bCs/>
          <w:sz w:val="22"/>
          <w:szCs w:val="22"/>
        </w:rPr>
      </w:pPr>
      <w:r w:rsidRPr="00050989">
        <w:rPr>
          <w:b/>
          <w:bCs/>
          <w:sz w:val="22"/>
          <w:szCs w:val="22"/>
        </w:rPr>
        <w:t>Сообщение о существенном факте</w:t>
      </w:r>
      <w:r w:rsidRPr="00050989">
        <w:rPr>
          <w:b/>
          <w:bCs/>
          <w:sz w:val="22"/>
          <w:szCs w:val="22"/>
        </w:rPr>
        <w:br/>
      </w:r>
      <w:r w:rsidR="001145AE"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084C48" w:rsidP="006D63E2">
            <w:pPr>
              <w:ind w:right="85"/>
              <w:jc w:val="both"/>
              <w:rPr>
                <w:sz w:val="22"/>
                <w:szCs w:val="22"/>
              </w:rPr>
            </w:pPr>
            <w:hyperlink r:id="rId6" w:history="1">
              <w:r w:rsidR="00832076" w:rsidRPr="00050989">
                <w:rPr>
                  <w:rStyle w:val="a5"/>
                  <w:sz w:val="22"/>
                  <w:szCs w:val="22"/>
                </w:rPr>
                <w:t>http://www.yatec.ru/</w:t>
              </w:r>
            </w:hyperlink>
          </w:p>
          <w:p w:rsidR="002A4625" w:rsidRPr="00050989" w:rsidRDefault="00084C48" w:rsidP="008F6A43">
            <w:pPr>
              <w:rPr>
                <w:sz w:val="22"/>
                <w:szCs w:val="22"/>
              </w:rPr>
            </w:pPr>
            <w:hyperlink r:id="rId7"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E40454" w:rsidRPr="00E40454" w:rsidRDefault="002A4625" w:rsidP="00E40454">
            <w:pPr>
              <w:contextualSpacing/>
              <w:jc w:val="both"/>
              <w:rPr>
                <w:sz w:val="18"/>
                <w:szCs w:val="18"/>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xml:space="preserve">: акции обыкновенные именные бездокументарные. </w:t>
            </w:r>
            <w:r w:rsidR="00E40454" w:rsidRPr="00E40454">
              <w:rPr>
                <w:sz w:val="22"/>
                <w:szCs w:val="22"/>
              </w:rPr>
              <w:t xml:space="preserve">Идентификационные признаки ценных бумаг эмитента: акции обыкновенные именные бездокументарные, </w:t>
            </w:r>
            <w:r w:rsidR="00E40454" w:rsidRPr="00E40454">
              <w:rPr>
                <w:rFonts w:ascii="Cambria" w:hAnsi="Cambria"/>
                <w:sz w:val="22"/>
                <w:szCs w:val="22"/>
              </w:rPr>
              <w:t xml:space="preserve">государственный регистрационный номер 1-01-20510-F, </w:t>
            </w:r>
            <w:r w:rsidR="00E40454" w:rsidRPr="00E40454">
              <w:rPr>
                <w:bCs/>
                <w:iCs/>
                <w:color w:val="000000"/>
                <w:sz w:val="22"/>
                <w:szCs w:val="22"/>
                <w:shd w:val="clear" w:color="auto" w:fill="F8F8F8"/>
              </w:rPr>
              <w:t>ISIN RU0007796819.</w:t>
            </w:r>
            <w:bookmarkStart w:id="0" w:name="_GoBack"/>
            <w:bookmarkEnd w:id="0"/>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 xml:space="preserve">участие во Внеочередном общем собрании акционеров </w:t>
            </w:r>
            <w:r w:rsidR="00BD257B">
              <w:rPr>
                <w:b/>
                <w:sz w:val="22"/>
                <w:szCs w:val="22"/>
              </w:rPr>
              <w:t>24</w:t>
            </w:r>
            <w:r w:rsidR="002E5E53" w:rsidRPr="00941D93">
              <w:rPr>
                <w:b/>
                <w:sz w:val="22"/>
                <w:szCs w:val="22"/>
              </w:rPr>
              <w:t>.</w:t>
            </w:r>
            <w:r w:rsidR="00050989" w:rsidRPr="00941D93">
              <w:rPr>
                <w:b/>
                <w:sz w:val="22"/>
                <w:szCs w:val="22"/>
              </w:rPr>
              <w:t>04</w:t>
            </w:r>
            <w:r w:rsidR="002E5E53" w:rsidRPr="00941D93">
              <w:rPr>
                <w:b/>
                <w:sz w:val="22"/>
                <w:szCs w:val="22"/>
              </w:rPr>
              <w:t>.201</w:t>
            </w:r>
            <w:r w:rsidR="00BD257B">
              <w:rPr>
                <w:b/>
                <w:sz w:val="22"/>
                <w:szCs w:val="22"/>
              </w:rPr>
              <w:t>7</w:t>
            </w:r>
            <w:r w:rsidR="00345E5E" w:rsidRPr="00941D93">
              <w:rPr>
                <w:b/>
                <w:sz w:val="22"/>
                <w:szCs w:val="22"/>
              </w:rPr>
              <w:t>.</w:t>
            </w:r>
          </w:p>
          <w:p w:rsidR="002A4625" w:rsidRPr="00050989"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BD257B">
              <w:rPr>
                <w:b/>
                <w:sz w:val="22"/>
                <w:szCs w:val="22"/>
              </w:rPr>
              <w:t>13</w:t>
            </w:r>
            <w:r w:rsidR="002E5E53" w:rsidRPr="00941D93">
              <w:rPr>
                <w:b/>
                <w:sz w:val="22"/>
                <w:szCs w:val="22"/>
              </w:rPr>
              <w:t xml:space="preserve"> </w:t>
            </w:r>
            <w:r w:rsidR="00050989" w:rsidRPr="00941D93">
              <w:rPr>
                <w:b/>
                <w:sz w:val="22"/>
                <w:szCs w:val="22"/>
              </w:rPr>
              <w:t>марта</w:t>
            </w:r>
            <w:r w:rsidR="001D61C4" w:rsidRPr="00941D93">
              <w:rPr>
                <w:b/>
                <w:sz w:val="22"/>
                <w:szCs w:val="22"/>
              </w:rPr>
              <w:t xml:space="preserve"> </w:t>
            </w:r>
            <w:r w:rsidR="00972D1F" w:rsidRPr="00941D93">
              <w:rPr>
                <w:b/>
                <w:sz w:val="22"/>
                <w:szCs w:val="22"/>
              </w:rPr>
              <w:t>201</w:t>
            </w:r>
            <w:r w:rsidR="00BD257B">
              <w:rPr>
                <w:b/>
                <w:sz w:val="22"/>
                <w:szCs w:val="22"/>
              </w:rPr>
              <w:t>7</w:t>
            </w:r>
            <w:r w:rsidR="00173B16" w:rsidRPr="00941D93">
              <w:rPr>
                <w:b/>
                <w:sz w:val="22"/>
                <w:szCs w:val="22"/>
              </w:rPr>
              <w:t xml:space="preserve"> </w:t>
            </w:r>
            <w:r w:rsidRPr="00941D93">
              <w:rPr>
                <w:b/>
                <w:sz w:val="22"/>
                <w:szCs w:val="22"/>
              </w:rPr>
              <w:t>г.</w:t>
            </w:r>
          </w:p>
          <w:p w:rsidR="002A4625" w:rsidRPr="00050989" w:rsidRDefault="002A4625" w:rsidP="00BD257B">
            <w:pPr>
              <w:adjustRightInd w:val="0"/>
              <w:jc w:val="both"/>
              <w:outlineLvl w:val="3"/>
              <w:rPr>
                <w:sz w:val="22"/>
                <w:szCs w:val="22"/>
              </w:rPr>
            </w:pPr>
            <w:r w:rsidRPr="00050989">
              <w:rPr>
                <w:sz w:val="22"/>
                <w:szCs w:val="22"/>
              </w:rPr>
              <w:t xml:space="preserve">2.4. </w:t>
            </w:r>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 Протоко</w:t>
            </w:r>
            <w:r w:rsidR="001C20D3" w:rsidRPr="00050989">
              <w:rPr>
                <w:sz w:val="22"/>
                <w:szCs w:val="22"/>
              </w:rPr>
              <w:t xml:space="preserve">л </w:t>
            </w:r>
            <w:r w:rsidR="002E5E53" w:rsidRPr="00050989">
              <w:rPr>
                <w:sz w:val="22"/>
                <w:szCs w:val="22"/>
              </w:rPr>
              <w:t xml:space="preserve">Совета директоров </w:t>
            </w:r>
            <w:r w:rsidR="00636435" w:rsidRPr="00050989">
              <w:rPr>
                <w:sz w:val="22"/>
                <w:szCs w:val="22"/>
              </w:rPr>
              <w:t xml:space="preserve">б/н от </w:t>
            </w:r>
            <w:r w:rsidR="00BD257B">
              <w:rPr>
                <w:sz w:val="22"/>
                <w:szCs w:val="22"/>
              </w:rPr>
              <w:t>02</w:t>
            </w:r>
            <w:r w:rsidR="002E5E53" w:rsidRPr="00050989">
              <w:rPr>
                <w:sz w:val="22"/>
                <w:szCs w:val="22"/>
              </w:rPr>
              <w:t>.0</w:t>
            </w:r>
            <w:r w:rsidR="00BD257B">
              <w:rPr>
                <w:sz w:val="22"/>
                <w:szCs w:val="22"/>
              </w:rPr>
              <w:t>3</w:t>
            </w:r>
            <w:r w:rsidR="00972D1F" w:rsidRPr="00050989">
              <w:rPr>
                <w:sz w:val="22"/>
                <w:szCs w:val="22"/>
              </w:rPr>
              <w:t>.201</w:t>
            </w:r>
            <w:r w:rsidR="00BD257B">
              <w:rPr>
                <w:sz w:val="22"/>
                <w:szCs w:val="22"/>
              </w:rPr>
              <w:t>7</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050989" w:rsidRDefault="00BD257B" w:rsidP="00BA3A29">
            <w:pPr>
              <w:jc w:val="center"/>
              <w:rPr>
                <w:sz w:val="22"/>
                <w:szCs w:val="22"/>
                <w:highlight w:val="yellow"/>
              </w:rPr>
            </w:pPr>
            <w:r>
              <w:rPr>
                <w:sz w:val="22"/>
                <w:szCs w:val="22"/>
              </w:rPr>
              <w:t>02</w:t>
            </w:r>
          </w:p>
        </w:tc>
        <w:tc>
          <w:tcPr>
            <w:tcW w:w="293" w:type="dxa"/>
            <w:tcBorders>
              <w:top w:val="nil"/>
              <w:left w:val="nil"/>
              <w:bottom w:val="nil"/>
              <w:right w:val="nil"/>
            </w:tcBorders>
            <w:vAlign w:val="center"/>
          </w:tcPr>
          <w:p w:rsidR="002A4625" w:rsidRPr="00050989"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BD257B" w:rsidP="00BA3A29">
            <w:pPr>
              <w:jc w:val="center"/>
              <w:rPr>
                <w:sz w:val="22"/>
                <w:szCs w:val="22"/>
              </w:rPr>
            </w:pPr>
            <w:r>
              <w:rPr>
                <w:sz w:val="22"/>
                <w:szCs w:val="22"/>
              </w:rPr>
              <w:t>марта</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BD257B">
            <w:pPr>
              <w:rPr>
                <w:sz w:val="22"/>
                <w:szCs w:val="22"/>
              </w:rPr>
            </w:pPr>
            <w:r w:rsidRPr="00050989">
              <w:rPr>
                <w:sz w:val="22"/>
                <w:szCs w:val="22"/>
              </w:rPr>
              <w:t>1</w:t>
            </w:r>
            <w:r w:rsidR="00BD257B">
              <w:rPr>
                <w:sz w:val="22"/>
                <w:szCs w:val="22"/>
              </w:rPr>
              <w:t>7</w:t>
            </w:r>
          </w:p>
        </w:tc>
        <w:tc>
          <w:tcPr>
            <w:tcW w:w="412" w:type="dxa"/>
            <w:tcBorders>
              <w:top w:val="nil"/>
              <w:left w:val="nil"/>
              <w:bottom w:val="nil"/>
              <w:right w:val="nil"/>
            </w:tcBorders>
            <w:vAlign w:val="center"/>
          </w:tcPr>
          <w:p w:rsidR="002A4625" w:rsidRPr="00050989" w:rsidRDefault="002A4625" w:rsidP="00BA3A29">
            <w:pPr>
              <w:ind w:left="57"/>
              <w:rPr>
                <w:sz w:val="22"/>
                <w:szCs w:val="22"/>
              </w:rPr>
            </w:pPr>
            <w:r w:rsidRPr="00050989">
              <w:rPr>
                <w:sz w:val="22"/>
                <w:szCs w:val="22"/>
              </w:rPr>
              <w:t>г.</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sectPr w:rsidR="003343A1" w:rsidSect="00A066A1">
      <w:headerReference w:type="default" r:id="rId8"/>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48" w:rsidRDefault="00084C48" w:rsidP="00D56ECC">
      <w:r>
        <w:separator/>
      </w:r>
    </w:p>
  </w:endnote>
  <w:endnote w:type="continuationSeparator" w:id="0">
    <w:p w:rsidR="00084C48" w:rsidRDefault="00084C48"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48" w:rsidRDefault="00084C48" w:rsidP="00D56ECC">
      <w:r>
        <w:separator/>
      </w:r>
    </w:p>
  </w:footnote>
  <w:footnote w:type="continuationSeparator" w:id="0">
    <w:p w:rsidR="00084C48" w:rsidRDefault="00084C48"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A1" w:rsidRDefault="00084C48" w:rsidP="00A066A1">
    <w:pPr>
      <w:pStyle w:val="a3"/>
      <w:rPr>
        <w:szCs w:val="14"/>
      </w:rPr>
    </w:pPr>
  </w:p>
  <w:p w:rsidR="00A066A1" w:rsidRPr="00BD58A4" w:rsidRDefault="00084C48"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4C48"/>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DAF"/>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6A7"/>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57B"/>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4C6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045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18F0B-9566-48B8-B738-BFF01D30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isclosure.ru/portal/company.aspx?id=4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tec.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5</cp:revision>
  <dcterms:created xsi:type="dcterms:W3CDTF">2017-03-02T08:14:00Z</dcterms:created>
  <dcterms:modified xsi:type="dcterms:W3CDTF">2017-03-02T09:19:00Z</dcterms:modified>
</cp:coreProperties>
</file>