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A3" w:rsidRDefault="001138A3" w:rsidP="00C52E83">
      <w:pPr>
        <w:jc w:val="center"/>
        <w:rPr>
          <w:b/>
          <w:bCs/>
          <w:sz w:val="10"/>
          <w:szCs w:val="10"/>
        </w:rPr>
      </w:pPr>
    </w:p>
    <w:p w:rsidR="00B454D8" w:rsidRDefault="00B454D8" w:rsidP="00C52E83">
      <w:pPr>
        <w:jc w:val="center"/>
        <w:rPr>
          <w:b/>
          <w:bCs/>
        </w:rPr>
      </w:pPr>
      <w:r>
        <w:rPr>
          <w:b/>
          <w:bCs/>
        </w:rPr>
        <w:t>Сообщение о существенном факте</w:t>
      </w:r>
    </w:p>
    <w:p w:rsidR="00F468C9" w:rsidRPr="00870E6A" w:rsidRDefault="00A425BD" w:rsidP="00C52E83">
      <w:pPr>
        <w:jc w:val="center"/>
        <w:rPr>
          <w:b/>
          <w:bCs/>
          <w:sz w:val="10"/>
          <w:szCs w:val="10"/>
        </w:rPr>
      </w:pPr>
      <w:r>
        <w:rPr>
          <w:b/>
          <w:bCs/>
        </w:rPr>
        <w:t>«</w:t>
      </w:r>
      <w:r w:rsidR="00843B3B">
        <w:rPr>
          <w:b/>
          <w:bCs/>
        </w:rPr>
        <w:t>Сведения об этапах процедуры эмиссии ценных бумаг</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2F38FE" w:rsidRPr="00776E6F">
        <w:tc>
          <w:tcPr>
            <w:tcW w:w="10234" w:type="dxa"/>
            <w:gridSpan w:val="12"/>
          </w:tcPr>
          <w:p w:rsidR="002F38FE" w:rsidRPr="00776E6F" w:rsidRDefault="002F38FE">
            <w:pPr>
              <w:jc w:val="center"/>
            </w:pPr>
            <w:r w:rsidRPr="00776E6F">
              <w:t>1. Общие сведения</w:t>
            </w:r>
          </w:p>
        </w:tc>
      </w:tr>
      <w:tr w:rsidR="00F73EE6" w:rsidRPr="00776E6F">
        <w:tc>
          <w:tcPr>
            <w:tcW w:w="5117" w:type="dxa"/>
            <w:gridSpan w:val="8"/>
          </w:tcPr>
          <w:p w:rsidR="00F73EE6" w:rsidRPr="00776E6F" w:rsidRDefault="00F73EE6">
            <w:pPr>
              <w:ind w:left="85" w:right="85"/>
              <w:jc w:val="both"/>
            </w:pPr>
            <w:r w:rsidRPr="00776E6F">
              <w:t>1.1. Полное фирменное наименование эмитента (для некоммерческой организации – наименование)</w:t>
            </w:r>
          </w:p>
        </w:tc>
        <w:tc>
          <w:tcPr>
            <w:tcW w:w="5117" w:type="dxa"/>
            <w:gridSpan w:val="4"/>
          </w:tcPr>
          <w:p w:rsidR="00F73EE6" w:rsidRPr="00390C98" w:rsidRDefault="00F73EE6" w:rsidP="00265B5A">
            <w:pPr>
              <w:ind w:left="85" w:right="85"/>
              <w:jc w:val="both"/>
            </w:pPr>
            <w:r w:rsidRPr="00390C98">
              <w:t xml:space="preserve">Открытое акционерное общество </w:t>
            </w:r>
          </w:p>
          <w:p w:rsidR="00F73EE6" w:rsidRPr="00390C98" w:rsidRDefault="00F73EE6" w:rsidP="00265B5A">
            <w:pPr>
              <w:ind w:left="85" w:right="85"/>
              <w:jc w:val="both"/>
            </w:pPr>
            <w:r w:rsidRPr="00390C98">
              <w:t>«Якутская топливно-энергетическая компания»</w:t>
            </w:r>
          </w:p>
        </w:tc>
      </w:tr>
      <w:tr w:rsidR="00F73EE6" w:rsidRPr="00776E6F">
        <w:tc>
          <w:tcPr>
            <w:tcW w:w="5117" w:type="dxa"/>
            <w:gridSpan w:val="8"/>
          </w:tcPr>
          <w:p w:rsidR="00F73EE6" w:rsidRPr="00776E6F" w:rsidRDefault="00F73EE6">
            <w:pPr>
              <w:ind w:left="85" w:right="85"/>
              <w:jc w:val="both"/>
            </w:pPr>
            <w:r w:rsidRPr="00776E6F">
              <w:t>1.2. Сокращенное фирменное наименование эмитента</w:t>
            </w:r>
          </w:p>
        </w:tc>
        <w:tc>
          <w:tcPr>
            <w:tcW w:w="5117" w:type="dxa"/>
            <w:gridSpan w:val="4"/>
          </w:tcPr>
          <w:p w:rsidR="00F73EE6" w:rsidRPr="00390C98" w:rsidRDefault="00F73EE6" w:rsidP="00265B5A">
            <w:pPr>
              <w:ind w:left="85" w:right="85"/>
              <w:jc w:val="both"/>
            </w:pPr>
            <w:r w:rsidRPr="00390C98">
              <w:t>ОАО «ЯТЭК»</w:t>
            </w:r>
          </w:p>
        </w:tc>
      </w:tr>
      <w:tr w:rsidR="00F73EE6" w:rsidRPr="00776E6F">
        <w:tc>
          <w:tcPr>
            <w:tcW w:w="5117" w:type="dxa"/>
            <w:gridSpan w:val="8"/>
          </w:tcPr>
          <w:p w:rsidR="00F73EE6" w:rsidRPr="00776E6F" w:rsidRDefault="00F73EE6">
            <w:pPr>
              <w:ind w:left="85" w:right="85"/>
              <w:jc w:val="both"/>
            </w:pPr>
            <w:r w:rsidRPr="00776E6F">
              <w:t>1.3. Место нахождения эмитента</w:t>
            </w:r>
          </w:p>
        </w:tc>
        <w:tc>
          <w:tcPr>
            <w:tcW w:w="5117" w:type="dxa"/>
            <w:gridSpan w:val="4"/>
          </w:tcPr>
          <w:p w:rsidR="00F73EE6" w:rsidRPr="00390C98" w:rsidRDefault="00F73EE6" w:rsidP="00265B5A">
            <w:pPr>
              <w:ind w:left="85" w:right="85"/>
              <w:jc w:val="both"/>
            </w:pPr>
            <w:r w:rsidRPr="00390C98">
              <w:t>678214, Республика Саха (Якутия), Вилюйский улус, п. Кысыл-Сыр, ул. Ленина, 4</w:t>
            </w:r>
          </w:p>
        </w:tc>
      </w:tr>
      <w:tr w:rsidR="00F73EE6" w:rsidRPr="00776E6F">
        <w:tc>
          <w:tcPr>
            <w:tcW w:w="5117" w:type="dxa"/>
            <w:gridSpan w:val="8"/>
          </w:tcPr>
          <w:p w:rsidR="00F73EE6" w:rsidRPr="00776E6F" w:rsidRDefault="00F73EE6">
            <w:pPr>
              <w:ind w:left="85" w:right="85"/>
              <w:jc w:val="both"/>
            </w:pPr>
            <w:r w:rsidRPr="00776E6F">
              <w:t>1.4. ОГРН эмитента</w:t>
            </w:r>
          </w:p>
        </w:tc>
        <w:tc>
          <w:tcPr>
            <w:tcW w:w="5117" w:type="dxa"/>
            <w:gridSpan w:val="4"/>
          </w:tcPr>
          <w:p w:rsidR="00F73EE6" w:rsidRPr="00390C98" w:rsidRDefault="00F73EE6" w:rsidP="00265B5A">
            <w:pPr>
              <w:ind w:left="85" w:right="85"/>
              <w:jc w:val="both"/>
            </w:pPr>
            <w:r w:rsidRPr="00390C98">
              <w:t>1021401062187</w:t>
            </w:r>
          </w:p>
        </w:tc>
      </w:tr>
      <w:tr w:rsidR="00F73EE6" w:rsidRPr="00776E6F">
        <w:tc>
          <w:tcPr>
            <w:tcW w:w="5117" w:type="dxa"/>
            <w:gridSpan w:val="8"/>
          </w:tcPr>
          <w:p w:rsidR="00F73EE6" w:rsidRPr="00776E6F" w:rsidRDefault="00F73EE6">
            <w:pPr>
              <w:ind w:left="85" w:right="85"/>
              <w:jc w:val="both"/>
            </w:pPr>
            <w:r w:rsidRPr="00776E6F">
              <w:t>1.5. ИНН эмитента</w:t>
            </w:r>
          </w:p>
        </w:tc>
        <w:tc>
          <w:tcPr>
            <w:tcW w:w="5117" w:type="dxa"/>
            <w:gridSpan w:val="4"/>
          </w:tcPr>
          <w:p w:rsidR="00F73EE6" w:rsidRPr="00390C98" w:rsidRDefault="00F73EE6" w:rsidP="00265B5A">
            <w:pPr>
              <w:ind w:left="85" w:right="85"/>
              <w:jc w:val="both"/>
            </w:pPr>
            <w:r w:rsidRPr="00390C98">
              <w:t>1435032049</w:t>
            </w:r>
          </w:p>
        </w:tc>
      </w:tr>
      <w:tr w:rsidR="00F73EE6" w:rsidRPr="00776E6F">
        <w:tc>
          <w:tcPr>
            <w:tcW w:w="5117" w:type="dxa"/>
            <w:gridSpan w:val="8"/>
          </w:tcPr>
          <w:p w:rsidR="00F73EE6" w:rsidRPr="00776E6F" w:rsidRDefault="00F73EE6">
            <w:pPr>
              <w:ind w:left="85" w:right="85"/>
              <w:jc w:val="both"/>
            </w:pPr>
            <w:r w:rsidRPr="00776E6F">
              <w:t>1.6. Уникальный код эмитента, присвоенный регистрирующим органом</w:t>
            </w:r>
          </w:p>
        </w:tc>
        <w:tc>
          <w:tcPr>
            <w:tcW w:w="5117" w:type="dxa"/>
            <w:gridSpan w:val="4"/>
          </w:tcPr>
          <w:p w:rsidR="00F73EE6" w:rsidRPr="00390C98" w:rsidRDefault="00F73EE6" w:rsidP="00265B5A">
            <w:pPr>
              <w:ind w:left="85" w:right="85"/>
              <w:jc w:val="both"/>
            </w:pPr>
            <w:r w:rsidRPr="00390C98">
              <w:t>20510-F</w:t>
            </w:r>
          </w:p>
        </w:tc>
      </w:tr>
      <w:tr w:rsidR="00F73EE6" w:rsidRPr="00776E6F">
        <w:tc>
          <w:tcPr>
            <w:tcW w:w="5117" w:type="dxa"/>
            <w:gridSpan w:val="8"/>
          </w:tcPr>
          <w:p w:rsidR="00F73EE6" w:rsidRPr="00776E6F" w:rsidRDefault="00F73EE6">
            <w:pPr>
              <w:ind w:left="85" w:right="85"/>
              <w:jc w:val="both"/>
            </w:pPr>
            <w:r w:rsidRPr="00776E6F">
              <w:t>1.7. Адрес страницы в сети Интернет, используемой эмитентом для раскрытия информации</w:t>
            </w:r>
          </w:p>
        </w:tc>
        <w:tc>
          <w:tcPr>
            <w:tcW w:w="5117" w:type="dxa"/>
            <w:gridSpan w:val="4"/>
          </w:tcPr>
          <w:p w:rsidR="00F73EE6" w:rsidRPr="00390C98" w:rsidRDefault="00F73EE6" w:rsidP="000E1416">
            <w:pPr>
              <w:ind w:left="85" w:right="85"/>
              <w:jc w:val="both"/>
            </w:pPr>
            <w:r w:rsidRPr="00390C98">
              <w:t>http://www.yatec.ru</w:t>
            </w:r>
          </w:p>
        </w:tc>
      </w:tr>
      <w:tr w:rsidR="002F38FE" w:rsidRPr="00776E6F">
        <w:tc>
          <w:tcPr>
            <w:tcW w:w="10234" w:type="dxa"/>
            <w:gridSpan w:val="12"/>
          </w:tcPr>
          <w:p w:rsidR="002F38FE" w:rsidRPr="00776E6F" w:rsidRDefault="002F38FE">
            <w:pPr>
              <w:jc w:val="center"/>
            </w:pPr>
            <w:r w:rsidRPr="00776E6F">
              <w:t>2. Содержание сообщения</w:t>
            </w:r>
          </w:p>
        </w:tc>
      </w:tr>
      <w:tr w:rsidR="00843B3B" w:rsidRPr="00776E6F">
        <w:tc>
          <w:tcPr>
            <w:tcW w:w="10234" w:type="dxa"/>
            <w:gridSpan w:val="12"/>
          </w:tcPr>
          <w:p w:rsidR="00843B3B" w:rsidRPr="00A425BD" w:rsidRDefault="00A425BD">
            <w:pPr>
              <w:jc w:val="center"/>
              <w:rPr>
                <w:b/>
              </w:rPr>
            </w:pPr>
            <w:r w:rsidRPr="00A425BD">
              <w:rPr>
                <w:b/>
              </w:rPr>
              <w:t>«Сведения о принятии решения о размещении ценных бумаг»</w:t>
            </w:r>
          </w:p>
        </w:tc>
      </w:tr>
      <w:tr w:rsidR="002F38FE" w:rsidRPr="00776E6F" w:rsidTr="00686FDA">
        <w:trPr>
          <w:trHeight w:val="2797"/>
        </w:trPr>
        <w:tc>
          <w:tcPr>
            <w:tcW w:w="10234" w:type="dxa"/>
            <w:gridSpan w:val="12"/>
          </w:tcPr>
          <w:p w:rsidR="00843B3B" w:rsidRDefault="00C52E83" w:rsidP="00D720BD">
            <w:pPr>
              <w:jc w:val="both"/>
            </w:pPr>
            <w:r>
              <w:t xml:space="preserve">2. </w:t>
            </w:r>
            <w:r w:rsidR="00052ACD">
              <w:t xml:space="preserve">1. </w:t>
            </w:r>
            <w:r w:rsidR="00843B3B">
              <w:t>В сообщении о существенном факте, содержащем сведения о принятии решения о размещении ценных бумаг, указывается:</w:t>
            </w:r>
          </w:p>
          <w:p w:rsidR="00843B3B" w:rsidRDefault="00843B3B" w:rsidP="00D720BD">
            <w:pPr>
              <w:jc w:val="both"/>
            </w:pPr>
            <w:r>
              <w:t xml:space="preserve">2.1.1. </w:t>
            </w:r>
            <w:proofErr w:type="gramStart"/>
            <w:r>
              <w:t>Орган управления эмитентом, принявший решение о размещении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голосования (совместное присутствие и/или заочное голосование).</w:t>
            </w:r>
            <w:proofErr w:type="gramEnd"/>
            <w:r>
              <w:t xml:space="preserve"> Решение о размещении ценных бумаг  принято Советом директоров ОАО «ЯТЭК»</w:t>
            </w:r>
            <w:r w:rsidR="002509BA">
              <w:t xml:space="preserve">, </w:t>
            </w:r>
            <w:r w:rsidR="00A60F23" w:rsidRPr="00A60F23">
              <w:t>форма голосования</w:t>
            </w:r>
            <w:r w:rsidR="00A60F23">
              <w:t xml:space="preserve"> </w:t>
            </w:r>
            <w:r w:rsidR="00A60F23" w:rsidRPr="00A60F23">
              <w:t>- заочное голосование.</w:t>
            </w:r>
          </w:p>
          <w:p w:rsidR="00843B3B" w:rsidRDefault="00843B3B" w:rsidP="00D720BD">
            <w:pPr>
              <w:jc w:val="both"/>
            </w:pPr>
            <w:r>
              <w:t>2.1.2. Дата и место проведения собрания (заседания) уполномоченного органа управления эмитента, на котором принято решение о размещении ценных бумаг. 28 июня 2012 года</w:t>
            </w:r>
            <w:proofErr w:type="gramStart"/>
            <w:r>
              <w:t>.</w:t>
            </w:r>
            <w:proofErr w:type="gramEnd"/>
            <w:r>
              <w:t xml:space="preserve"> (</w:t>
            </w:r>
            <w:proofErr w:type="gramStart"/>
            <w:r>
              <w:t>д</w:t>
            </w:r>
            <w:proofErr w:type="gramEnd"/>
            <w:r>
              <w:t xml:space="preserve">ата окончания приема опросных листов). Почтовый </w:t>
            </w:r>
            <w:proofErr w:type="gramStart"/>
            <w:r>
              <w:t>адрес</w:t>
            </w:r>
            <w:proofErr w:type="gramEnd"/>
            <w:r>
              <w:t xml:space="preserve"> по которому направлялись опросные листы -  </w:t>
            </w:r>
            <w:r w:rsidR="00583373" w:rsidRPr="00583373">
              <w:t>119435, г. Москва, ул. Большой Саввинский переулок, д.10А.</w:t>
            </w:r>
            <w:r w:rsidRPr="00583373">
              <w:t xml:space="preserve">    </w:t>
            </w:r>
          </w:p>
          <w:p w:rsidR="00583373" w:rsidRDefault="00583373" w:rsidP="00D720BD">
            <w:pPr>
              <w:jc w:val="both"/>
            </w:pPr>
            <w:r>
              <w:t xml:space="preserve">2.1.3.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 28 июня 2012г. </w:t>
            </w:r>
            <w:proofErr w:type="gramStart"/>
            <w:r>
              <w:t>Протокол б</w:t>
            </w:r>
            <w:proofErr w:type="gramEnd"/>
            <w:r>
              <w:t>/н.</w:t>
            </w:r>
          </w:p>
          <w:p w:rsidR="00583373" w:rsidRDefault="00583373" w:rsidP="00D720BD">
            <w:pPr>
              <w:jc w:val="both"/>
            </w:pPr>
            <w:r>
              <w:t xml:space="preserve">2.1.4. Кворум и результаты голосования по вопросу о принятии решения о размещении ценных бумаг. </w:t>
            </w:r>
            <w:r w:rsidRPr="0078140B">
              <w:t>Количество избранных членов Совета директоров: 7(семь) человек. Число членов Совета директоров, принявших участие в голосовании</w:t>
            </w:r>
            <w:r w:rsidR="002509BA">
              <w:t xml:space="preserve"> (н</w:t>
            </w:r>
            <w:r w:rsidR="002509BA" w:rsidRPr="002509BA">
              <w:t xml:space="preserve">аправили подписанные </w:t>
            </w:r>
            <w:r w:rsidR="00C50CE1">
              <w:t>опросные листы</w:t>
            </w:r>
            <w:r w:rsidR="002509BA" w:rsidRPr="002509BA">
              <w:t xml:space="preserve"> для заочного голосования</w:t>
            </w:r>
            <w:r w:rsidR="00C50CE1">
              <w:t>)</w:t>
            </w:r>
            <w:r w:rsidRPr="0078140B">
              <w:t>: 5 (пять) человек</w:t>
            </w:r>
            <w:r w:rsidR="0078140B" w:rsidRPr="0078140B">
              <w:t>. Кворум по данному вопросу повестки дня имеется.</w:t>
            </w:r>
            <w:r>
              <w:rPr>
                <w:b/>
              </w:rPr>
              <w:t xml:space="preserve"> </w:t>
            </w:r>
            <w:r w:rsidR="0078140B">
              <w:t>Результаты голосования: «ЗА»- 5 голосов, «ПРОТИВ» - 0 голосов, «ВОЗДЕРЖАЛИСЬ» - 0 голосов. Решение принято.</w:t>
            </w:r>
          </w:p>
          <w:p w:rsidR="0078140B" w:rsidRDefault="0078140B" w:rsidP="00D720BD">
            <w:pPr>
              <w:jc w:val="both"/>
            </w:pPr>
            <w:r>
              <w:t>2.1.5. Полная формулировка принятого решения о размещении ценных бумаг:</w:t>
            </w:r>
          </w:p>
          <w:p w:rsidR="0078140B" w:rsidRPr="0078140B" w:rsidRDefault="0078140B" w:rsidP="0078140B">
            <w:pPr>
              <w:jc w:val="both"/>
            </w:pPr>
            <w:proofErr w:type="gramStart"/>
            <w:r w:rsidRPr="0078140B">
              <w:t xml:space="preserve">Принять решение о размещении облигаций неконвертируемых процентных документарных на предъявителя серии 01 Открытого акционерного общества «Якутская топливно-энергетическая компания» с обязательным централизованным хранением </w:t>
            </w:r>
            <w:r w:rsidRPr="0078140B">
              <w:rPr>
                <w:color w:val="000000"/>
              </w:rPr>
              <w:t xml:space="preserve">в количестве 400 000 (Четыреста тысяч) штук номинальной стоимостью 1 000 (Одна тысяча) рублей каждая общей номинальной стоимостью 400 000 000 (Четыреста миллионов) рублей </w:t>
            </w:r>
            <w:r w:rsidRPr="0078140B">
              <w:t>(выше и далее именуемые - Облигации) на следующих условиях:</w:t>
            </w:r>
            <w:proofErr w:type="gramEnd"/>
          </w:p>
          <w:p w:rsidR="0078140B" w:rsidRPr="0078140B" w:rsidRDefault="0078140B" w:rsidP="0078140B">
            <w:pPr>
              <w:widowControl w:val="0"/>
              <w:ind w:left="360"/>
              <w:jc w:val="both"/>
            </w:pPr>
          </w:p>
          <w:tbl>
            <w:tblPr>
              <w:tblW w:w="9747" w:type="dxa"/>
              <w:tblLayout w:type="fixed"/>
              <w:tblLook w:val="0000"/>
            </w:tblPr>
            <w:tblGrid>
              <w:gridCol w:w="3132"/>
              <w:gridCol w:w="6615"/>
            </w:tblGrid>
            <w:tr w:rsidR="0078140B" w:rsidRPr="0078140B" w:rsidTr="0078140B">
              <w:trPr>
                <w:trHeight w:val="491"/>
              </w:trPr>
              <w:tc>
                <w:tcPr>
                  <w:tcW w:w="3132" w:type="dxa"/>
                </w:tcPr>
                <w:p w:rsidR="0078140B" w:rsidRPr="0078140B" w:rsidRDefault="0078140B" w:rsidP="0078140B">
                  <w:pPr>
                    <w:snapToGrid w:val="0"/>
                    <w:rPr>
                      <w:b/>
                    </w:rPr>
                  </w:pPr>
                  <w:r w:rsidRPr="0078140B">
                    <w:rPr>
                      <w:b/>
                    </w:rPr>
                    <w:t>Способ размещения Облигаций:</w:t>
                  </w:r>
                </w:p>
              </w:tc>
              <w:tc>
                <w:tcPr>
                  <w:tcW w:w="6615" w:type="dxa"/>
                </w:tcPr>
                <w:p w:rsidR="0078140B" w:rsidRPr="0078140B" w:rsidRDefault="0078140B" w:rsidP="0078140B">
                  <w:pPr>
                    <w:snapToGrid w:val="0"/>
                    <w:jc w:val="both"/>
                  </w:pPr>
                  <w:r w:rsidRPr="0078140B">
                    <w:t>Открытая подписка</w:t>
                  </w:r>
                </w:p>
              </w:tc>
            </w:tr>
            <w:tr w:rsidR="0078140B" w:rsidRPr="0078140B" w:rsidTr="0078140B">
              <w:trPr>
                <w:trHeight w:val="384"/>
              </w:trPr>
              <w:tc>
                <w:tcPr>
                  <w:tcW w:w="3132" w:type="dxa"/>
                </w:tcPr>
                <w:p w:rsidR="0078140B" w:rsidRPr="0078140B" w:rsidRDefault="0078140B" w:rsidP="0078140B">
                  <w:pPr>
                    <w:snapToGrid w:val="0"/>
                  </w:pPr>
                </w:p>
              </w:tc>
              <w:tc>
                <w:tcPr>
                  <w:tcW w:w="6615" w:type="dxa"/>
                </w:tcPr>
                <w:p w:rsidR="0078140B" w:rsidRPr="0078140B" w:rsidRDefault="0078140B" w:rsidP="0078140B">
                  <w:pPr>
                    <w:snapToGrid w:val="0"/>
                    <w:jc w:val="both"/>
                  </w:pPr>
                </w:p>
              </w:tc>
            </w:tr>
            <w:tr w:rsidR="0078140B" w:rsidRPr="0078140B" w:rsidTr="0078140B">
              <w:trPr>
                <w:trHeight w:val="491"/>
              </w:trPr>
              <w:tc>
                <w:tcPr>
                  <w:tcW w:w="3132" w:type="dxa"/>
                </w:tcPr>
                <w:p w:rsidR="0078140B" w:rsidRPr="0078140B" w:rsidRDefault="0078140B" w:rsidP="0078140B">
                  <w:pPr>
                    <w:snapToGrid w:val="0"/>
                    <w:rPr>
                      <w:b/>
                    </w:rPr>
                  </w:pPr>
                  <w:r w:rsidRPr="0078140B">
                    <w:rPr>
                      <w:b/>
                    </w:rPr>
                    <w:t>Цена размещения Облигаций:</w:t>
                  </w:r>
                </w:p>
              </w:tc>
              <w:tc>
                <w:tcPr>
                  <w:tcW w:w="6615" w:type="dxa"/>
                </w:tcPr>
                <w:p w:rsidR="0078140B" w:rsidRPr="0078140B" w:rsidRDefault="0078140B" w:rsidP="0078140B">
                  <w:pPr>
                    <w:snapToGrid w:val="0"/>
                    <w:jc w:val="both"/>
                  </w:pPr>
                  <w:r w:rsidRPr="0078140B">
                    <w:t xml:space="preserve">Цена размещения Облигаций в первый и последующие дни размещения устанавливается равной номинальной стоимости и составляет 1 000 (Одна тысяча) рублей за одну Облигацию </w:t>
                  </w:r>
                  <w:r w:rsidRPr="00F872AB">
                    <w:rPr>
                      <w:rStyle w:val="SUBST"/>
                      <w:b w:val="0"/>
                      <w:i w:val="0"/>
                      <w:sz w:val="20"/>
                      <w:szCs w:val="20"/>
                    </w:rPr>
                    <w:t>(100% от номинальной стоимости)</w:t>
                  </w:r>
                  <w:r w:rsidRPr="00F872AB">
                    <w:rPr>
                      <w:i/>
                    </w:rPr>
                    <w:t>.</w:t>
                  </w:r>
                  <w:r w:rsidRPr="0078140B">
                    <w:t xml:space="preserve"> </w:t>
                  </w:r>
                </w:p>
                <w:p w:rsidR="0078140B" w:rsidRPr="0078140B" w:rsidRDefault="0078140B" w:rsidP="0078140B">
                  <w:pPr>
                    <w:jc w:val="both"/>
                  </w:pPr>
                  <w:r w:rsidRPr="0078140B">
                    <w:t>Начиная со второго дня размещения Облигаций, покупатель при совершении операции купли-продажи Облигаций также уплачивает накопленный купонный доход по Облигациям (НКД), рассчитываемый по следующей формуле:</w:t>
                  </w:r>
                </w:p>
                <w:p w:rsidR="0078140B" w:rsidRPr="0078140B" w:rsidRDefault="0078140B" w:rsidP="0078140B">
                  <w:pPr>
                    <w:jc w:val="both"/>
                  </w:pPr>
                  <w:r w:rsidRPr="0078140B">
                    <w:t xml:space="preserve">НКД = </w:t>
                  </w:r>
                  <w:proofErr w:type="spellStart"/>
                  <w:r w:rsidRPr="0078140B">
                    <w:t>Nom</w:t>
                  </w:r>
                  <w:proofErr w:type="spellEnd"/>
                  <w:r w:rsidRPr="0078140B">
                    <w:t xml:space="preserve"> * C(1) * (T - T0)/ 365/ 100%, где </w:t>
                  </w:r>
                </w:p>
                <w:p w:rsidR="0078140B" w:rsidRPr="0078140B" w:rsidRDefault="0078140B" w:rsidP="0078140B">
                  <w:pPr>
                    <w:jc w:val="both"/>
                  </w:pPr>
                  <w:r w:rsidRPr="0078140B">
                    <w:t xml:space="preserve">НКД – накопленный купонный доход по каждой Облигации, руб.; </w:t>
                  </w:r>
                </w:p>
                <w:p w:rsidR="0078140B" w:rsidRPr="0078140B" w:rsidRDefault="0078140B" w:rsidP="0078140B">
                  <w:pPr>
                    <w:jc w:val="both"/>
                  </w:pPr>
                  <w:proofErr w:type="spellStart"/>
                  <w:r w:rsidRPr="0078140B">
                    <w:t>Nom</w:t>
                  </w:r>
                  <w:proofErr w:type="spellEnd"/>
                  <w:r w:rsidRPr="0078140B">
                    <w:t xml:space="preserve"> – номинальная стоимость одной Облигации, руб.; </w:t>
                  </w:r>
                </w:p>
                <w:p w:rsidR="0078140B" w:rsidRPr="0078140B" w:rsidRDefault="0078140B" w:rsidP="0078140B">
                  <w:pPr>
                    <w:jc w:val="both"/>
                  </w:pPr>
                  <w:r w:rsidRPr="0078140B">
                    <w:t xml:space="preserve">С(1) – размер процентной ставки по первому купону, проценты </w:t>
                  </w:r>
                  <w:proofErr w:type="gramStart"/>
                  <w:r w:rsidRPr="0078140B">
                    <w:t>годовых</w:t>
                  </w:r>
                  <w:proofErr w:type="gramEnd"/>
                  <w:r w:rsidRPr="0078140B">
                    <w:t xml:space="preserve">; </w:t>
                  </w:r>
                </w:p>
                <w:p w:rsidR="0078140B" w:rsidRPr="0078140B" w:rsidRDefault="0078140B" w:rsidP="0078140B">
                  <w:pPr>
                    <w:jc w:val="both"/>
                  </w:pPr>
                  <w:r w:rsidRPr="0078140B">
                    <w:t xml:space="preserve">T – дата размещения Облигаций; </w:t>
                  </w:r>
                </w:p>
                <w:p w:rsidR="0078140B" w:rsidRPr="0078140B" w:rsidRDefault="0078140B" w:rsidP="0078140B">
                  <w:pPr>
                    <w:jc w:val="both"/>
                  </w:pPr>
                  <w:r w:rsidRPr="0078140B">
                    <w:t xml:space="preserve">T0 – дата начала размещения Облигаций. </w:t>
                  </w:r>
                </w:p>
                <w:p w:rsidR="0078140B" w:rsidRPr="0078140B" w:rsidRDefault="0078140B" w:rsidP="0078140B">
                  <w:pPr>
                    <w:jc w:val="both"/>
                  </w:pPr>
                  <w:r w:rsidRPr="0078140B">
                    <w:t xml:space="preserve">Величина накопленного купонного дохода в расчете на одну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78140B">
                    <w:t>за</w:t>
                  </w:r>
                  <w:proofErr w:type="gramEnd"/>
                  <w:r w:rsidRPr="0078140B">
                    <w:t xml:space="preserve"> округляемой цифра находится в промежутке от 0 до 4, и изменяется, увеличиваясь на единицу, если первая за округляемой цифра находится в промежутке от 5 до 9). </w:t>
                  </w:r>
                </w:p>
              </w:tc>
            </w:tr>
            <w:tr w:rsidR="0078140B" w:rsidRPr="0078140B" w:rsidTr="0078140B">
              <w:trPr>
                <w:trHeight w:val="260"/>
              </w:trPr>
              <w:tc>
                <w:tcPr>
                  <w:tcW w:w="3132" w:type="dxa"/>
                </w:tcPr>
                <w:p w:rsidR="0078140B" w:rsidRPr="0078140B" w:rsidRDefault="0078140B" w:rsidP="0078140B">
                  <w:pPr>
                    <w:snapToGrid w:val="0"/>
                  </w:pPr>
                </w:p>
              </w:tc>
              <w:tc>
                <w:tcPr>
                  <w:tcW w:w="6615" w:type="dxa"/>
                </w:tcPr>
                <w:p w:rsidR="0078140B" w:rsidRPr="0078140B" w:rsidRDefault="0078140B" w:rsidP="0078140B">
                  <w:pPr>
                    <w:snapToGrid w:val="0"/>
                    <w:jc w:val="both"/>
                  </w:pPr>
                </w:p>
              </w:tc>
            </w:tr>
            <w:tr w:rsidR="0078140B" w:rsidRPr="0078140B" w:rsidTr="0078140B">
              <w:trPr>
                <w:trHeight w:val="491"/>
              </w:trPr>
              <w:tc>
                <w:tcPr>
                  <w:tcW w:w="3132" w:type="dxa"/>
                </w:tcPr>
                <w:p w:rsidR="0078140B" w:rsidRPr="0078140B" w:rsidRDefault="0078140B" w:rsidP="0078140B">
                  <w:pPr>
                    <w:snapToGrid w:val="0"/>
                    <w:rPr>
                      <w:b/>
                    </w:rPr>
                  </w:pPr>
                  <w:r w:rsidRPr="0078140B">
                    <w:rPr>
                      <w:b/>
                    </w:rPr>
                    <w:lastRenderedPageBreak/>
                    <w:t>Форма оплаты Облигаций:</w:t>
                  </w:r>
                </w:p>
              </w:tc>
              <w:tc>
                <w:tcPr>
                  <w:tcW w:w="6615" w:type="dxa"/>
                </w:tcPr>
                <w:p w:rsidR="0078140B" w:rsidRPr="0078140B" w:rsidRDefault="0078140B" w:rsidP="0078140B">
                  <w:pPr>
                    <w:snapToGrid w:val="0"/>
                    <w:jc w:val="both"/>
                  </w:pPr>
                  <w:r w:rsidRPr="0078140B">
                    <w:t>При размещении Облигаций предусмотрена форма оплаты денежными средствами в валюте Российской Федерации в безналичном порядке. Возможность рассрочки при оплате ценных бумаг не предусмотрена.</w:t>
                  </w:r>
                </w:p>
              </w:tc>
            </w:tr>
            <w:tr w:rsidR="0078140B" w:rsidRPr="0078140B" w:rsidTr="0078140B">
              <w:trPr>
                <w:trHeight w:val="47"/>
              </w:trPr>
              <w:tc>
                <w:tcPr>
                  <w:tcW w:w="3132" w:type="dxa"/>
                </w:tcPr>
                <w:p w:rsidR="0078140B" w:rsidRPr="0078140B" w:rsidRDefault="0078140B" w:rsidP="0078140B">
                  <w:pPr>
                    <w:snapToGrid w:val="0"/>
                  </w:pPr>
                </w:p>
              </w:tc>
              <w:tc>
                <w:tcPr>
                  <w:tcW w:w="6615" w:type="dxa"/>
                </w:tcPr>
                <w:p w:rsidR="0078140B" w:rsidRPr="0078140B" w:rsidRDefault="0078140B" w:rsidP="0078140B">
                  <w:pPr>
                    <w:snapToGrid w:val="0"/>
                    <w:jc w:val="both"/>
                  </w:pPr>
                </w:p>
              </w:tc>
            </w:tr>
            <w:tr w:rsidR="0078140B" w:rsidRPr="0078140B" w:rsidTr="0078140B">
              <w:trPr>
                <w:trHeight w:val="491"/>
              </w:trPr>
              <w:tc>
                <w:tcPr>
                  <w:tcW w:w="3132" w:type="dxa"/>
                </w:tcPr>
                <w:p w:rsidR="0078140B" w:rsidRPr="0078140B" w:rsidRDefault="0078140B" w:rsidP="0078140B">
                  <w:pPr>
                    <w:snapToGrid w:val="0"/>
                    <w:rPr>
                      <w:b/>
                    </w:rPr>
                  </w:pPr>
                  <w:r w:rsidRPr="0078140B">
                    <w:rPr>
                      <w:b/>
                    </w:rPr>
                    <w:t xml:space="preserve">Форма, порядок и срок погашения Облигаций: </w:t>
                  </w:r>
                </w:p>
                <w:p w:rsidR="0078140B" w:rsidRPr="0078140B" w:rsidRDefault="0078140B" w:rsidP="0078140B">
                  <w:pPr>
                    <w:jc w:val="center"/>
                  </w:pPr>
                </w:p>
              </w:tc>
              <w:tc>
                <w:tcPr>
                  <w:tcW w:w="6615" w:type="dxa"/>
                </w:tcPr>
                <w:p w:rsidR="0078140B" w:rsidRPr="0078140B" w:rsidRDefault="0078140B" w:rsidP="0078140B">
                  <w:pPr>
                    <w:snapToGrid w:val="0"/>
                    <w:jc w:val="both"/>
                  </w:pPr>
                  <w:r w:rsidRPr="0078140B">
                    <w:t>Погашение Облигаций производится денежными средствами в валюте Российской Федерации в безналичном порядке. Возможность выбора владельцами Облигаций формы погашения Облигаций не предусмотрена.</w:t>
                  </w:r>
                </w:p>
                <w:p w:rsidR="0078140B" w:rsidRPr="0078140B" w:rsidRDefault="0078140B" w:rsidP="0078140B">
                  <w:pPr>
                    <w:jc w:val="both"/>
                  </w:pPr>
                  <w:r w:rsidRPr="0078140B">
                    <w:t xml:space="preserve">Дата начала погашения: 1092-й (Одна тысяча девяносто второй) день с даты начала размещения Облигаций. </w:t>
                  </w:r>
                </w:p>
                <w:p w:rsidR="0078140B" w:rsidRPr="0078140B" w:rsidRDefault="0078140B" w:rsidP="0078140B">
                  <w:pPr>
                    <w:jc w:val="both"/>
                  </w:pPr>
                  <w:r w:rsidRPr="0078140B">
                    <w:t>Даты начала и окончания погашения Облигаций совпадают.</w:t>
                  </w:r>
                </w:p>
                <w:p w:rsidR="0078140B" w:rsidRPr="0078140B" w:rsidRDefault="0078140B" w:rsidP="0078140B">
                  <w:pPr>
                    <w:jc w:val="both"/>
                  </w:pPr>
                  <w:r w:rsidRPr="0078140B">
                    <w:t>Погашение Облигаций производится по номинальной стоимости Облигаций в пользу владельцев Облигаций.</w:t>
                  </w:r>
                </w:p>
                <w:p w:rsidR="0078140B" w:rsidRPr="0078140B" w:rsidRDefault="0078140B" w:rsidP="0078140B">
                  <w:pPr>
                    <w:jc w:val="both"/>
                  </w:pPr>
                  <w:r w:rsidRPr="0078140B">
                    <w:t xml:space="preserve">Иные условия погашения Облигаций устанавливаются Решением о выпуске ценных бумаг и Проспектом ценных бумаг. </w:t>
                  </w:r>
                </w:p>
              </w:tc>
            </w:tr>
            <w:tr w:rsidR="0078140B" w:rsidRPr="0078140B" w:rsidTr="0078140B">
              <w:trPr>
                <w:trHeight w:val="110"/>
              </w:trPr>
              <w:tc>
                <w:tcPr>
                  <w:tcW w:w="3132" w:type="dxa"/>
                </w:tcPr>
                <w:p w:rsidR="0078140B" w:rsidRPr="0078140B" w:rsidRDefault="0078140B" w:rsidP="0078140B">
                  <w:pPr>
                    <w:snapToGrid w:val="0"/>
                  </w:pPr>
                </w:p>
              </w:tc>
              <w:tc>
                <w:tcPr>
                  <w:tcW w:w="6615" w:type="dxa"/>
                </w:tcPr>
                <w:p w:rsidR="0078140B" w:rsidRPr="0078140B" w:rsidRDefault="0078140B" w:rsidP="0078140B">
                  <w:pPr>
                    <w:snapToGrid w:val="0"/>
                    <w:jc w:val="both"/>
                  </w:pPr>
                </w:p>
              </w:tc>
            </w:tr>
            <w:tr w:rsidR="0078140B" w:rsidRPr="0078140B" w:rsidTr="0078140B">
              <w:trPr>
                <w:trHeight w:val="491"/>
              </w:trPr>
              <w:tc>
                <w:tcPr>
                  <w:tcW w:w="3132" w:type="dxa"/>
                </w:tcPr>
                <w:p w:rsidR="0078140B" w:rsidRPr="0078140B" w:rsidRDefault="0078140B" w:rsidP="0078140B">
                  <w:pPr>
                    <w:snapToGrid w:val="0"/>
                    <w:rPr>
                      <w:b/>
                    </w:rPr>
                  </w:pPr>
                  <w:r w:rsidRPr="0078140B">
                    <w:rPr>
                      <w:b/>
                    </w:rPr>
                    <w:t>Возможность приобретения Облигаций:</w:t>
                  </w:r>
                </w:p>
              </w:tc>
              <w:tc>
                <w:tcPr>
                  <w:tcW w:w="6615" w:type="dxa"/>
                </w:tcPr>
                <w:p w:rsidR="0078140B" w:rsidRPr="0078140B" w:rsidRDefault="0078140B" w:rsidP="0078140B">
                  <w:pPr>
                    <w:snapToGrid w:val="0"/>
                    <w:jc w:val="both"/>
                  </w:pPr>
                  <w:r w:rsidRPr="0078140B">
                    <w:t>Предусмотрена возможность приобретения Облигаций Эмитентом по соглашению с их владельцем (владельцами) и по требованию их владельца (владельцев) с возможностью их дальнейшего обращения в соответствии с Решением о выпуске ценных бумаг и Проспектом ценных бумаг.</w:t>
                  </w:r>
                </w:p>
              </w:tc>
            </w:tr>
            <w:tr w:rsidR="0078140B" w:rsidRPr="0078140B" w:rsidTr="0078140B">
              <w:trPr>
                <w:trHeight w:val="259"/>
              </w:trPr>
              <w:tc>
                <w:tcPr>
                  <w:tcW w:w="3132" w:type="dxa"/>
                </w:tcPr>
                <w:p w:rsidR="0078140B" w:rsidRPr="0078140B" w:rsidRDefault="0078140B" w:rsidP="0078140B">
                  <w:pPr>
                    <w:snapToGrid w:val="0"/>
                  </w:pPr>
                </w:p>
              </w:tc>
              <w:tc>
                <w:tcPr>
                  <w:tcW w:w="6615" w:type="dxa"/>
                </w:tcPr>
                <w:p w:rsidR="0078140B" w:rsidRPr="0078140B" w:rsidRDefault="0078140B" w:rsidP="0078140B">
                  <w:pPr>
                    <w:snapToGrid w:val="0"/>
                    <w:jc w:val="both"/>
                  </w:pPr>
                </w:p>
              </w:tc>
            </w:tr>
            <w:tr w:rsidR="0078140B" w:rsidRPr="0078140B" w:rsidTr="0078140B">
              <w:trPr>
                <w:trHeight w:val="491"/>
              </w:trPr>
              <w:tc>
                <w:tcPr>
                  <w:tcW w:w="3132" w:type="dxa"/>
                </w:tcPr>
                <w:p w:rsidR="0078140B" w:rsidRPr="0078140B" w:rsidRDefault="0078140B" w:rsidP="0078140B">
                  <w:pPr>
                    <w:snapToGrid w:val="0"/>
                    <w:rPr>
                      <w:b/>
                    </w:rPr>
                  </w:pPr>
                  <w:r w:rsidRPr="0078140B">
                    <w:rPr>
                      <w:b/>
                    </w:rPr>
                    <w:t>Возможность досрочного погашения Облигаций:</w:t>
                  </w:r>
                </w:p>
              </w:tc>
              <w:tc>
                <w:tcPr>
                  <w:tcW w:w="6615" w:type="dxa"/>
                </w:tcPr>
                <w:p w:rsidR="0078140B" w:rsidRPr="0078140B" w:rsidRDefault="0078140B" w:rsidP="0078140B">
                  <w:pPr>
                    <w:jc w:val="both"/>
                  </w:pPr>
                  <w:r w:rsidRPr="0078140B">
                    <w:t xml:space="preserve">Предусмотрена возможность досрочного погашения Облигаций по требованию владельцев Облигаций и по усмотрению Эмитента в соответствии с Решением о выпуске ценных бумаг и Проспектом ценных бумаг. </w:t>
                  </w:r>
                  <w:proofErr w:type="gramStart"/>
                  <w:r w:rsidRPr="0078140B">
                    <w:t xml:space="preserve">Досрочное погашение Облигаций допускается только после государственной регистрации отчета об итогах их выпуска или представления уведомления об итогах выпуска ценных бумаг в регистрирующий орган, в случае если в соответствии с Федеральным законом "О рынке ценных бумаг" или иными федеральными законами эмиссия Облигаций осуществляется без государственной регистрации отчета об итогах выпуска ценных бумаг, и полной оплаты Облигаций. </w:t>
                  </w:r>
                  <w:proofErr w:type="gramEnd"/>
                </w:p>
                <w:p w:rsidR="0078140B" w:rsidRPr="0078140B" w:rsidRDefault="0078140B" w:rsidP="0078140B">
                  <w:pPr>
                    <w:jc w:val="both"/>
                  </w:pPr>
                  <w:r w:rsidRPr="0078140B">
                    <w:t>Облигации, погашенные Эмитентом досрочно, не могут быть вновь выпущены в обращение.</w:t>
                  </w:r>
                </w:p>
                <w:p w:rsidR="0078140B" w:rsidRPr="0078140B" w:rsidRDefault="0078140B" w:rsidP="0078140B">
                  <w:pPr>
                    <w:snapToGrid w:val="0"/>
                    <w:jc w:val="both"/>
                  </w:pPr>
                  <w:r w:rsidRPr="0078140B">
                    <w:t>Порядок и условия досрочного погашения Облигаций по требованию владельцев Облигаций устанавливаются Решением о выпуске ценных бумаг и Проспектом ценных бумаг. Досрочное погашение Облигаций по требованию владельцев Облигаций осуществляется в денежной форме, в безналичном порядке в валюте Российской Федерации.</w:t>
                  </w:r>
                </w:p>
              </w:tc>
            </w:tr>
            <w:tr w:rsidR="0078140B" w:rsidRPr="0078140B" w:rsidTr="0078140B">
              <w:trPr>
                <w:trHeight w:val="491"/>
              </w:trPr>
              <w:tc>
                <w:tcPr>
                  <w:tcW w:w="3132" w:type="dxa"/>
                </w:tcPr>
                <w:p w:rsidR="0078140B" w:rsidRPr="0078140B" w:rsidRDefault="0078140B" w:rsidP="0078140B">
                  <w:pPr>
                    <w:snapToGrid w:val="0"/>
                  </w:pPr>
                </w:p>
              </w:tc>
              <w:tc>
                <w:tcPr>
                  <w:tcW w:w="6615" w:type="dxa"/>
                </w:tcPr>
                <w:p w:rsidR="0078140B" w:rsidRPr="0078140B" w:rsidRDefault="0078140B" w:rsidP="0078140B">
                  <w:pPr>
                    <w:jc w:val="both"/>
                  </w:pPr>
                  <w:r w:rsidRPr="0078140B">
                    <w:t>Порядок и условия досрочного погашения Облигаций по усмотрению Эмитента устанавливаются Решением о выпуске ценных бумаг и Проспектом ценных бумаг. Досрочное погашение Облигаций по усмотрению Эмитента осуществляется в денежной форме, в безналичном порядке в валюте Российской Федерации.</w:t>
                  </w:r>
                </w:p>
              </w:tc>
            </w:tr>
          </w:tbl>
          <w:p w:rsidR="0078140B" w:rsidRPr="0078140B" w:rsidRDefault="0078140B" w:rsidP="0078140B">
            <w:pPr>
              <w:jc w:val="both"/>
            </w:pPr>
          </w:p>
          <w:p w:rsidR="0078140B" w:rsidRDefault="0078140B" w:rsidP="0078140B">
            <w:pPr>
              <w:jc w:val="both"/>
            </w:pPr>
            <w:r w:rsidRPr="0078140B">
              <w:t xml:space="preserve">Расходы, связанные с внесением приходных записей о зачислении размещаемых Облигаций на лицевые счета (счета депо) их первых владельцев (приобретателей), несут владельцы (приобретатели) Облигаций. </w:t>
            </w:r>
          </w:p>
          <w:p w:rsidR="00A425BD" w:rsidRPr="0078140B" w:rsidRDefault="00A425BD" w:rsidP="0078140B">
            <w:pPr>
              <w:jc w:val="both"/>
            </w:pPr>
          </w:p>
          <w:p w:rsidR="0078140B" w:rsidRPr="0078140B" w:rsidRDefault="00762D12" w:rsidP="0078140B">
            <w:pPr>
              <w:jc w:val="both"/>
              <w:rPr>
                <w:color w:val="000000"/>
              </w:rPr>
            </w:pPr>
            <w:r>
              <w:rPr>
                <w:color w:val="000000"/>
              </w:rPr>
              <w:t>2.1.6. Факт предоставления акционерам (участникам) эмитента и/или иным лицам преимущественного права приобретения ценных бумаг. Преимущественное право приобретения размещаемых ценных бумаг не предусмотрено.</w:t>
            </w:r>
          </w:p>
          <w:p w:rsidR="00623F11" w:rsidRPr="00A425BD" w:rsidRDefault="00762D12" w:rsidP="00A425BD">
            <w:pPr>
              <w:rPr>
                <w:color w:val="000000"/>
              </w:rPr>
            </w:pPr>
            <w:r>
              <w:t xml:space="preserve">2.1.7.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sidRPr="00762D12">
              <w:rPr>
                <w:color w:val="000000"/>
              </w:rPr>
              <w:t>Регистрация проспекта ценных бумаг осуществляется эмитентом в обязательном порядке. Каждый этап процедуры эмиссии ценных бумаг сопровождается раскрытием информации в соответствии с частью 2 статьи 19 Федерального закона от 22.04.1996 № 39-ФЗ «О рынке ценных бумаг</w:t>
            </w:r>
            <w:r>
              <w:rPr>
                <w:color w:val="000000"/>
              </w:rPr>
              <w:t>».</w:t>
            </w:r>
          </w:p>
        </w:tc>
      </w:tr>
      <w:tr w:rsidR="002F38FE" w:rsidRPr="00776E6F">
        <w:trPr>
          <w:cantSplit/>
        </w:trPr>
        <w:tc>
          <w:tcPr>
            <w:tcW w:w="10235" w:type="dxa"/>
            <w:gridSpan w:val="12"/>
          </w:tcPr>
          <w:p w:rsidR="002F38FE" w:rsidRPr="00776E6F" w:rsidRDefault="002F38FE">
            <w:pPr>
              <w:jc w:val="center"/>
            </w:pPr>
            <w:r w:rsidRPr="00776E6F">
              <w:lastRenderedPageBreak/>
              <w:t>3. Подпись</w:t>
            </w:r>
          </w:p>
        </w:tc>
      </w:tr>
      <w:tr w:rsidR="002F38FE" w:rsidRPr="00776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2F38FE" w:rsidRPr="00776E6F" w:rsidRDefault="002F38FE" w:rsidP="00F73EE6">
            <w:pPr>
              <w:spacing w:before="20"/>
              <w:ind w:left="85"/>
            </w:pPr>
            <w:r w:rsidRPr="00776E6F">
              <w:t xml:space="preserve">3.1. </w:t>
            </w:r>
            <w:r w:rsidR="00F73EE6">
              <w:t>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2F38FE" w:rsidRPr="00776E6F" w:rsidRDefault="002F38FE">
            <w:pPr>
              <w:jc w:val="center"/>
            </w:pPr>
          </w:p>
        </w:tc>
        <w:tc>
          <w:tcPr>
            <w:tcW w:w="851" w:type="dxa"/>
            <w:tcBorders>
              <w:top w:val="single" w:sz="4" w:space="0" w:color="auto"/>
              <w:left w:val="nil"/>
              <w:bottom w:val="nil"/>
              <w:right w:val="nil"/>
            </w:tcBorders>
            <w:vAlign w:val="bottom"/>
          </w:tcPr>
          <w:p w:rsidR="002F38FE" w:rsidRPr="00776E6F" w:rsidRDefault="002F38FE"/>
        </w:tc>
        <w:tc>
          <w:tcPr>
            <w:tcW w:w="2835" w:type="dxa"/>
            <w:tcBorders>
              <w:top w:val="single" w:sz="4" w:space="0" w:color="auto"/>
              <w:left w:val="nil"/>
              <w:bottom w:val="nil"/>
              <w:right w:val="nil"/>
            </w:tcBorders>
            <w:vAlign w:val="bottom"/>
          </w:tcPr>
          <w:p w:rsidR="002F38FE" w:rsidRPr="00776E6F" w:rsidRDefault="00F73EE6">
            <w:pPr>
              <w:jc w:val="center"/>
            </w:pPr>
            <w:r>
              <w:t>З.К.Юсупов</w:t>
            </w:r>
          </w:p>
        </w:tc>
        <w:tc>
          <w:tcPr>
            <w:tcW w:w="142" w:type="dxa"/>
            <w:tcBorders>
              <w:top w:val="single" w:sz="4" w:space="0" w:color="auto"/>
              <w:left w:val="nil"/>
              <w:bottom w:val="nil"/>
              <w:right w:val="single" w:sz="4" w:space="0" w:color="auto"/>
            </w:tcBorders>
            <w:vAlign w:val="bottom"/>
          </w:tcPr>
          <w:p w:rsidR="002F38FE" w:rsidRPr="00776E6F" w:rsidRDefault="002F38FE"/>
        </w:tc>
      </w:tr>
      <w:tr w:rsidR="002F38FE" w:rsidRPr="00776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2F38FE" w:rsidRPr="003C3139" w:rsidRDefault="002F38FE">
            <w:pPr>
              <w:ind w:left="57"/>
            </w:pPr>
          </w:p>
        </w:tc>
        <w:tc>
          <w:tcPr>
            <w:tcW w:w="1984" w:type="dxa"/>
            <w:gridSpan w:val="2"/>
            <w:tcBorders>
              <w:top w:val="nil"/>
              <w:left w:val="nil"/>
              <w:bottom w:val="nil"/>
              <w:right w:val="nil"/>
            </w:tcBorders>
          </w:tcPr>
          <w:p w:rsidR="002F38FE" w:rsidRPr="00776E6F" w:rsidRDefault="002F38FE">
            <w:pPr>
              <w:jc w:val="center"/>
            </w:pPr>
            <w:r w:rsidRPr="00776E6F">
              <w:t>(подпись)</w:t>
            </w:r>
          </w:p>
        </w:tc>
        <w:tc>
          <w:tcPr>
            <w:tcW w:w="851" w:type="dxa"/>
            <w:tcBorders>
              <w:top w:val="nil"/>
              <w:left w:val="nil"/>
              <w:bottom w:val="nil"/>
              <w:right w:val="nil"/>
            </w:tcBorders>
          </w:tcPr>
          <w:p w:rsidR="002F38FE" w:rsidRPr="00776E6F" w:rsidRDefault="002F38FE"/>
        </w:tc>
        <w:tc>
          <w:tcPr>
            <w:tcW w:w="2835" w:type="dxa"/>
            <w:tcBorders>
              <w:top w:val="nil"/>
              <w:left w:val="nil"/>
              <w:bottom w:val="nil"/>
              <w:right w:val="nil"/>
            </w:tcBorders>
          </w:tcPr>
          <w:p w:rsidR="002F38FE" w:rsidRPr="00776E6F" w:rsidRDefault="002F38FE"/>
        </w:tc>
        <w:tc>
          <w:tcPr>
            <w:tcW w:w="142" w:type="dxa"/>
            <w:tcBorders>
              <w:top w:val="nil"/>
              <w:left w:val="nil"/>
              <w:bottom w:val="nil"/>
              <w:right w:val="single" w:sz="4" w:space="0" w:color="auto"/>
            </w:tcBorders>
          </w:tcPr>
          <w:p w:rsidR="002F38FE" w:rsidRPr="00776E6F" w:rsidRDefault="002F38FE"/>
        </w:tc>
      </w:tr>
      <w:tr w:rsidR="002F38FE" w:rsidRPr="00776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2F38FE" w:rsidRPr="00776E6F" w:rsidRDefault="002F38FE">
            <w:pPr>
              <w:ind w:left="57"/>
            </w:pPr>
            <w:r w:rsidRPr="00776E6F">
              <w:t>3.2. Дата “</w:t>
            </w:r>
          </w:p>
        </w:tc>
        <w:tc>
          <w:tcPr>
            <w:tcW w:w="448" w:type="dxa"/>
            <w:tcBorders>
              <w:top w:val="nil"/>
              <w:left w:val="nil"/>
              <w:bottom w:val="single" w:sz="4" w:space="0" w:color="auto"/>
              <w:right w:val="nil"/>
            </w:tcBorders>
            <w:vAlign w:val="bottom"/>
          </w:tcPr>
          <w:p w:rsidR="002F38FE" w:rsidRPr="00E578AE" w:rsidRDefault="005A050B" w:rsidP="00623F11">
            <w:pPr>
              <w:jc w:val="center"/>
              <w:rPr>
                <w:highlight w:val="yellow"/>
              </w:rPr>
            </w:pPr>
            <w:r>
              <w:t>2</w:t>
            </w:r>
            <w:r w:rsidR="00A425BD">
              <w:t>8</w:t>
            </w:r>
          </w:p>
        </w:tc>
        <w:tc>
          <w:tcPr>
            <w:tcW w:w="293" w:type="dxa"/>
            <w:tcBorders>
              <w:top w:val="nil"/>
              <w:left w:val="nil"/>
              <w:bottom w:val="nil"/>
              <w:right w:val="nil"/>
            </w:tcBorders>
            <w:vAlign w:val="bottom"/>
          </w:tcPr>
          <w:p w:rsidR="002F38FE" w:rsidRPr="003C3139" w:rsidRDefault="002F38FE">
            <w:r w:rsidRPr="003C3139">
              <w:t>”</w:t>
            </w:r>
          </w:p>
        </w:tc>
        <w:tc>
          <w:tcPr>
            <w:tcW w:w="1318" w:type="dxa"/>
            <w:tcBorders>
              <w:top w:val="nil"/>
              <w:left w:val="nil"/>
              <w:bottom w:val="single" w:sz="4" w:space="0" w:color="auto"/>
              <w:right w:val="nil"/>
            </w:tcBorders>
            <w:vAlign w:val="bottom"/>
          </w:tcPr>
          <w:p w:rsidR="002F38FE" w:rsidRPr="003C3139" w:rsidRDefault="00B06FA5" w:rsidP="00B06FA5">
            <w:pPr>
              <w:jc w:val="center"/>
            </w:pPr>
            <w:r>
              <w:t>июня</w:t>
            </w:r>
          </w:p>
        </w:tc>
        <w:tc>
          <w:tcPr>
            <w:tcW w:w="415" w:type="dxa"/>
            <w:tcBorders>
              <w:top w:val="nil"/>
              <w:left w:val="nil"/>
              <w:bottom w:val="nil"/>
              <w:right w:val="nil"/>
            </w:tcBorders>
            <w:vAlign w:val="bottom"/>
          </w:tcPr>
          <w:p w:rsidR="002F38FE" w:rsidRPr="00776E6F" w:rsidRDefault="002F38FE">
            <w:pPr>
              <w:jc w:val="right"/>
            </w:pPr>
            <w:r w:rsidRPr="00776E6F">
              <w:t>20</w:t>
            </w:r>
          </w:p>
        </w:tc>
        <w:tc>
          <w:tcPr>
            <w:tcW w:w="307" w:type="dxa"/>
            <w:tcBorders>
              <w:top w:val="nil"/>
              <w:left w:val="nil"/>
              <w:bottom w:val="single" w:sz="4" w:space="0" w:color="auto"/>
              <w:right w:val="nil"/>
            </w:tcBorders>
            <w:vAlign w:val="bottom"/>
          </w:tcPr>
          <w:p w:rsidR="002F38FE" w:rsidRPr="00776E6F" w:rsidRDefault="00384929" w:rsidP="00F73EE6">
            <w:r w:rsidRPr="00776E6F">
              <w:t>1</w:t>
            </w:r>
            <w:r w:rsidR="00F73EE6">
              <w:t>2</w:t>
            </w:r>
          </w:p>
        </w:tc>
        <w:tc>
          <w:tcPr>
            <w:tcW w:w="412" w:type="dxa"/>
            <w:tcBorders>
              <w:top w:val="nil"/>
              <w:left w:val="nil"/>
              <w:bottom w:val="nil"/>
              <w:right w:val="nil"/>
            </w:tcBorders>
            <w:vAlign w:val="bottom"/>
          </w:tcPr>
          <w:p w:rsidR="002F38FE" w:rsidRPr="00776E6F" w:rsidRDefault="002F38FE" w:rsidP="00A425BD">
            <w:proofErr w:type="gramStart"/>
            <w:r w:rsidRPr="00776E6F">
              <w:t>г</w:t>
            </w:r>
            <w:proofErr w:type="gramEnd"/>
            <w:r w:rsidRPr="00776E6F">
              <w:t>.</w:t>
            </w:r>
          </w:p>
        </w:tc>
        <w:tc>
          <w:tcPr>
            <w:tcW w:w="1984" w:type="dxa"/>
            <w:gridSpan w:val="2"/>
            <w:tcBorders>
              <w:top w:val="nil"/>
              <w:left w:val="nil"/>
              <w:bottom w:val="nil"/>
              <w:right w:val="nil"/>
            </w:tcBorders>
            <w:vAlign w:val="bottom"/>
          </w:tcPr>
          <w:p w:rsidR="002F38FE" w:rsidRPr="00776E6F" w:rsidRDefault="002F38FE">
            <w:pPr>
              <w:jc w:val="center"/>
            </w:pPr>
            <w:r w:rsidRPr="00776E6F">
              <w:t>М.П.</w:t>
            </w:r>
          </w:p>
        </w:tc>
        <w:tc>
          <w:tcPr>
            <w:tcW w:w="3828" w:type="dxa"/>
            <w:gridSpan w:val="3"/>
            <w:tcBorders>
              <w:top w:val="nil"/>
              <w:left w:val="nil"/>
              <w:bottom w:val="nil"/>
              <w:right w:val="single" w:sz="4" w:space="0" w:color="auto"/>
            </w:tcBorders>
            <w:vAlign w:val="bottom"/>
          </w:tcPr>
          <w:p w:rsidR="002F38FE" w:rsidRPr="00776E6F" w:rsidRDefault="002F38FE"/>
        </w:tc>
      </w:tr>
      <w:tr w:rsidR="002F38FE" w:rsidRPr="00776E6F" w:rsidTr="003B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423" w:type="dxa"/>
            <w:gridSpan w:val="7"/>
            <w:tcBorders>
              <w:top w:val="nil"/>
              <w:left w:val="single" w:sz="4" w:space="0" w:color="auto"/>
              <w:bottom w:val="single" w:sz="4" w:space="0" w:color="auto"/>
              <w:right w:val="nil"/>
            </w:tcBorders>
          </w:tcPr>
          <w:p w:rsidR="002F38FE" w:rsidRPr="003C3139" w:rsidRDefault="002F38FE">
            <w:pPr>
              <w:ind w:left="57"/>
            </w:pPr>
          </w:p>
        </w:tc>
        <w:tc>
          <w:tcPr>
            <w:tcW w:w="1984" w:type="dxa"/>
            <w:gridSpan w:val="2"/>
            <w:tcBorders>
              <w:top w:val="nil"/>
              <w:left w:val="nil"/>
              <w:bottom w:val="single" w:sz="4" w:space="0" w:color="auto"/>
              <w:right w:val="nil"/>
            </w:tcBorders>
          </w:tcPr>
          <w:p w:rsidR="002F38FE" w:rsidRPr="00776E6F" w:rsidRDefault="002F38FE">
            <w:pPr>
              <w:jc w:val="center"/>
            </w:pPr>
          </w:p>
        </w:tc>
        <w:tc>
          <w:tcPr>
            <w:tcW w:w="3828" w:type="dxa"/>
            <w:gridSpan w:val="3"/>
            <w:tcBorders>
              <w:top w:val="nil"/>
              <w:left w:val="nil"/>
              <w:bottom w:val="single" w:sz="4" w:space="0" w:color="auto"/>
              <w:right w:val="single" w:sz="4" w:space="0" w:color="auto"/>
            </w:tcBorders>
          </w:tcPr>
          <w:p w:rsidR="002F38FE" w:rsidRPr="00776E6F" w:rsidRDefault="002F38FE"/>
        </w:tc>
      </w:tr>
    </w:tbl>
    <w:p w:rsidR="002F38FE" w:rsidRDefault="002F38FE" w:rsidP="00870E6A">
      <w:pPr>
        <w:rPr>
          <w:sz w:val="10"/>
          <w:szCs w:val="10"/>
        </w:rPr>
      </w:pPr>
    </w:p>
    <w:p w:rsidR="00686FDA" w:rsidRPr="00870E6A" w:rsidRDefault="00686FDA" w:rsidP="00870E6A">
      <w:pPr>
        <w:rPr>
          <w:sz w:val="10"/>
          <w:szCs w:val="10"/>
        </w:rPr>
      </w:pPr>
    </w:p>
    <w:sectPr w:rsidR="00686FDA" w:rsidRPr="00870E6A" w:rsidSect="00870E6A">
      <w:headerReference w:type="default" r:id="rId8"/>
      <w:pgSz w:w="11906" w:h="16838"/>
      <w:pgMar w:top="426" w:right="567" w:bottom="142" w:left="1134" w:header="397" w:footer="28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E3" w:rsidRDefault="001C67E3">
      <w:r>
        <w:separator/>
      </w:r>
    </w:p>
  </w:endnote>
  <w:endnote w:type="continuationSeparator" w:id="0">
    <w:p w:rsidR="001C67E3" w:rsidRDefault="001C6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E3" w:rsidRDefault="001C67E3">
      <w:r>
        <w:separator/>
      </w:r>
    </w:p>
  </w:footnote>
  <w:footnote w:type="continuationSeparator" w:id="0">
    <w:p w:rsidR="001C67E3" w:rsidRDefault="001C6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12" w:rsidRDefault="00762D12" w:rsidP="00BD58A4">
    <w:pPr>
      <w:pStyle w:val="a3"/>
      <w:rPr>
        <w:szCs w:val="14"/>
      </w:rPr>
    </w:pPr>
  </w:p>
  <w:p w:rsidR="00762D12" w:rsidRPr="00BD58A4" w:rsidRDefault="00762D12" w:rsidP="00BD58A4">
    <w:pPr>
      <w:pStyle w:val="a3"/>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2C4"/>
    <w:multiLevelType w:val="hybridMultilevel"/>
    <w:tmpl w:val="5E403614"/>
    <w:lvl w:ilvl="0" w:tplc="75E8DC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36DC6735"/>
    <w:multiLevelType w:val="hybridMultilevel"/>
    <w:tmpl w:val="5D6C4DB4"/>
    <w:lvl w:ilvl="0" w:tplc="352682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B5D"/>
    <w:multiLevelType w:val="multilevel"/>
    <w:tmpl w:val="F8AED402"/>
    <w:lvl w:ilvl="0">
      <w:start w:val="2"/>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3">
    <w:nsid w:val="49935A2C"/>
    <w:multiLevelType w:val="hybridMultilevel"/>
    <w:tmpl w:val="1174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E3C0D"/>
    <w:multiLevelType w:val="hybridMultilevel"/>
    <w:tmpl w:val="96DCFB0C"/>
    <w:lvl w:ilvl="0" w:tplc="B5421A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3F01"/>
  <w:trackRevision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8A4"/>
    <w:rsid w:val="00052ACD"/>
    <w:rsid w:val="00071A48"/>
    <w:rsid w:val="00092F39"/>
    <w:rsid w:val="000A76F0"/>
    <w:rsid w:val="000B4352"/>
    <w:rsid w:val="000D0D7B"/>
    <w:rsid w:val="000D7002"/>
    <w:rsid w:val="000E1416"/>
    <w:rsid w:val="000F600E"/>
    <w:rsid w:val="001138A3"/>
    <w:rsid w:val="00145B8A"/>
    <w:rsid w:val="00186126"/>
    <w:rsid w:val="001940B3"/>
    <w:rsid w:val="001B3A7B"/>
    <w:rsid w:val="001C67E3"/>
    <w:rsid w:val="001F1961"/>
    <w:rsid w:val="002059F6"/>
    <w:rsid w:val="002509BA"/>
    <w:rsid w:val="002544EC"/>
    <w:rsid w:val="00265B5A"/>
    <w:rsid w:val="002B58DC"/>
    <w:rsid w:val="002F1819"/>
    <w:rsid w:val="002F38FE"/>
    <w:rsid w:val="002F4731"/>
    <w:rsid w:val="00384929"/>
    <w:rsid w:val="00390C98"/>
    <w:rsid w:val="00397828"/>
    <w:rsid w:val="003B73DA"/>
    <w:rsid w:val="003C3139"/>
    <w:rsid w:val="003C39B1"/>
    <w:rsid w:val="003C4BED"/>
    <w:rsid w:val="003E34AC"/>
    <w:rsid w:val="003E5768"/>
    <w:rsid w:val="004261EB"/>
    <w:rsid w:val="00426E13"/>
    <w:rsid w:val="004C6A9B"/>
    <w:rsid w:val="004D2189"/>
    <w:rsid w:val="004E430A"/>
    <w:rsid w:val="004E7132"/>
    <w:rsid w:val="004F30D5"/>
    <w:rsid w:val="00517174"/>
    <w:rsid w:val="0054558E"/>
    <w:rsid w:val="0056142F"/>
    <w:rsid w:val="00583373"/>
    <w:rsid w:val="005A050B"/>
    <w:rsid w:val="005C7B56"/>
    <w:rsid w:val="00616739"/>
    <w:rsid w:val="00623F11"/>
    <w:rsid w:val="00664538"/>
    <w:rsid w:val="00682827"/>
    <w:rsid w:val="00686FDA"/>
    <w:rsid w:val="006E1EB3"/>
    <w:rsid w:val="006F7707"/>
    <w:rsid w:val="00722087"/>
    <w:rsid w:val="00733BA8"/>
    <w:rsid w:val="00762D12"/>
    <w:rsid w:val="00776E6F"/>
    <w:rsid w:val="0078140B"/>
    <w:rsid w:val="00791345"/>
    <w:rsid w:val="00812772"/>
    <w:rsid w:val="00833697"/>
    <w:rsid w:val="00843B3B"/>
    <w:rsid w:val="00860761"/>
    <w:rsid w:val="00870E6A"/>
    <w:rsid w:val="008C434E"/>
    <w:rsid w:val="00913C11"/>
    <w:rsid w:val="0093732F"/>
    <w:rsid w:val="009433BA"/>
    <w:rsid w:val="00945030"/>
    <w:rsid w:val="00980266"/>
    <w:rsid w:val="00995559"/>
    <w:rsid w:val="009E270E"/>
    <w:rsid w:val="00A02593"/>
    <w:rsid w:val="00A1685A"/>
    <w:rsid w:val="00A173BF"/>
    <w:rsid w:val="00A34FDD"/>
    <w:rsid w:val="00A425BD"/>
    <w:rsid w:val="00A60F23"/>
    <w:rsid w:val="00A708B0"/>
    <w:rsid w:val="00A81DA2"/>
    <w:rsid w:val="00A968E1"/>
    <w:rsid w:val="00AA5F46"/>
    <w:rsid w:val="00B06FA5"/>
    <w:rsid w:val="00B454D8"/>
    <w:rsid w:val="00B616EA"/>
    <w:rsid w:val="00B8101C"/>
    <w:rsid w:val="00BD58A4"/>
    <w:rsid w:val="00BE6CDD"/>
    <w:rsid w:val="00BF2DEE"/>
    <w:rsid w:val="00BF4AE1"/>
    <w:rsid w:val="00C1029F"/>
    <w:rsid w:val="00C261DE"/>
    <w:rsid w:val="00C26D06"/>
    <w:rsid w:val="00C50CE1"/>
    <w:rsid w:val="00C52E83"/>
    <w:rsid w:val="00C628F3"/>
    <w:rsid w:val="00C67157"/>
    <w:rsid w:val="00C70FCA"/>
    <w:rsid w:val="00C87330"/>
    <w:rsid w:val="00C9291B"/>
    <w:rsid w:val="00CA00AA"/>
    <w:rsid w:val="00CC3E60"/>
    <w:rsid w:val="00CF42ED"/>
    <w:rsid w:val="00D542FB"/>
    <w:rsid w:val="00D720BD"/>
    <w:rsid w:val="00D75865"/>
    <w:rsid w:val="00D7588E"/>
    <w:rsid w:val="00DA3F85"/>
    <w:rsid w:val="00DD177A"/>
    <w:rsid w:val="00E16CA9"/>
    <w:rsid w:val="00E578AE"/>
    <w:rsid w:val="00E87896"/>
    <w:rsid w:val="00EE50A1"/>
    <w:rsid w:val="00EE7137"/>
    <w:rsid w:val="00EF135F"/>
    <w:rsid w:val="00EF72D2"/>
    <w:rsid w:val="00F21804"/>
    <w:rsid w:val="00F30CF1"/>
    <w:rsid w:val="00F468C9"/>
    <w:rsid w:val="00F62BE2"/>
    <w:rsid w:val="00F723B5"/>
    <w:rsid w:val="00F73EE6"/>
    <w:rsid w:val="00F872AB"/>
    <w:rsid w:val="00F94746"/>
    <w:rsid w:val="00FA4249"/>
    <w:rsid w:val="00FD3508"/>
    <w:rsid w:val="00FF5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3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45030"/>
    <w:pPr>
      <w:autoSpaceDE w:val="0"/>
      <w:autoSpaceDN w:val="0"/>
      <w:ind w:right="19771" w:firstLine="539"/>
      <w:jc w:val="both"/>
    </w:pPr>
    <w:rPr>
      <w:rFonts w:ascii="Courier New" w:hAnsi="Courier New" w:cs="Courier New"/>
      <w:lang w:val="en-US"/>
    </w:rPr>
  </w:style>
  <w:style w:type="paragraph" w:customStyle="1" w:styleId="ConsNonformat">
    <w:name w:val="ConsNonformat"/>
    <w:rsid w:val="00945030"/>
    <w:pPr>
      <w:widowControl w:val="0"/>
      <w:autoSpaceDE w:val="0"/>
      <w:autoSpaceDN w:val="0"/>
      <w:jc w:val="both"/>
    </w:pPr>
    <w:rPr>
      <w:rFonts w:ascii="Courier New" w:hAnsi="Courier New" w:cs="Courier New"/>
    </w:rPr>
  </w:style>
  <w:style w:type="paragraph" w:styleId="a3">
    <w:name w:val="header"/>
    <w:basedOn w:val="a"/>
    <w:rsid w:val="00945030"/>
    <w:pPr>
      <w:tabs>
        <w:tab w:val="center" w:pos="4153"/>
        <w:tab w:val="right" w:pos="8306"/>
      </w:tabs>
    </w:pPr>
  </w:style>
  <w:style w:type="paragraph" w:styleId="a4">
    <w:name w:val="footer"/>
    <w:basedOn w:val="a"/>
    <w:rsid w:val="00945030"/>
    <w:pPr>
      <w:tabs>
        <w:tab w:val="center" w:pos="4153"/>
        <w:tab w:val="right" w:pos="8306"/>
      </w:tabs>
    </w:pPr>
  </w:style>
  <w:style w:type="paragraph" w:customStyle="1" w:styleId="msolistparagraph0">
    <w:name w:val="msolistparagraph"/>
    <w:basedOn w:val="a"/>
    <w:rsid w:val="00F94746"/>
    <w:pPr>
      <w:autoSpaceDE/>
      <w:autoSpaceDN/>
      <w:ind w:left="720"/>
    </w:pPr>
    <w:rPr>
      <w:rFonts w:ascii="Calibri" w:hAnsi="Calibri"/>
      <w:sz w:val="22"/>
      <w:szCs w:val="22"/>
    </w:rPr>
  </w:style>
  <w:style w:type="paragraph" w:styleId="a5">
    <w:name w:val="Normal (Web)"/>
    <w:basedOn w:val="a"/>
    <w:rsid w:val="00F94746"/>
    <w:pPr>
      <w:autoSpaceDE/>
      <w:autoSpaceDN/>
    </w:pPr>
    <w:rPr>
      <w:sz w:val="24"/>
      <w:szCs w:val="24"/>
    </w:rPr>
  </w:style>
  <w:style w:type="paragraph" w:styleId="a6">
    <w:name w:val="List Paragraph"/>
    <w:basedOn w:val="a"/>
    <w:uiPriority w:val="99"/>
    <w:qFormat/>
    <w:rsid w:val="00F73EE6"/>
    <w:pPr>
      <w:autoSpaceDE/>
      <w:autoSpaceDN/>
      <w:spacing w:after="200" w:line="276" w:lineRule="auto"/>
      <w:ind w:left="720"/>
      <w:contextualSpacing/>
    </w:pPr>
    <w:rPr>
      <w:rFonts w:ascii="Calibri" w:hAnsi="Calibri"/>
      <w:sz w:val="22"/>
      <w:szCs w:val="22"/>
    </w:rPr>
  </w:style>
  <w:style w:type="paragraph" w:styleId="a7">
    <w:name w:val="Plain Text"/>
    <w:basedOn w:val="a"/>
    <w:link w:val="a8"/>
    <w:uiPriority w:val="99"/>
    <w:rsid w:val="00F73EE6"/>
    <w:pPr>
      <w:autoSpaceDE/>
      <w:autoSpaceDN/>
    </w:pPr>
    <w:rPr>
      <w:rFonts w:ascii="Consolas" w:eastAsia="Calibri" w:hAnsi="Consolas"/>
      <w:sz w:val="21"/>
      <w:szCs w:val="21"/>
      <w:lang w:eastAsia="en-US"/>
    </w:rPr>
  </w:style>
  <w:style w:type="character" w:customStyle="1" w:styleId="a8">
    <w:name w:val="Текст Знак"/>
    <w:basedOn w:val="a0"/>
    <w:link w:val="a7"/>
    <w:uiPriority w:val="99"/>
    <w:rsid w:val="00F73EE6"/>
    <w:rPr>
      <w:rFonts w:ascii="Consolas" w:eastAsia="Calibri" w:hAnsi="Consolas"/>
      <w:sz w:val="21"/>
      <w:szCs w:val="21"/>
      <w:lang w:eastAsia="en-US"/>
    </w:rPr>
  </w:style>
  <w:style w:type="paragraph" w:customStyle="1" w:styleId="ConsPlusNormal">
    <w:name w:val="ConsPlusNormal"/>
    <w:rsid w:val="002544EC"/>
    <w:pPr>
      <w:autoSpaceDE w:val="0"/>
      <w:autoSpaceDN w:val="0"/>
      <w:adjustRightInd w:val="0"/>
      <w:ind w:firstLine="720"/>
    </w:pPr>
    <w:rPr>
      <w:rFonts w:ascii="Arial" w:hAnsi="Arial" w:cs="Arial"/>
    </w:rPr>
  </w:style>
  <w:style w:type="paragraph" w:styleId="a9">
    <w:name w:val="Balloon Text"/>
    <w:basedOn w:val="a"/>
    <w:link w:val="aa"/>
    <w:rsid w:val="00860761"/>
    <w:rPr>
      <w:rFonts w:ascii="Tahoma" w:hAnsi="Tahoma" w:cs="Tahoma"/>
      <w:sz w:val="16"/>
      <w:szCs w:val="16"/>
    </w:rPr>
  </w:style>
  <w:style w:type="character" w:customStyle="1" w:styleId="aa">
    <w:name w:val="Текст выноски Знак"/>
    <w:basedOn w:val="a0"/>
    <w:link w:val="a9"/>
    <w:rsid w:val="00860761"/>
    <w:rPr>
      <w:rFonts w:ascii="Tahoma" w:hAnsi="Tahoma" w:cs="Tahoma"/>
      <w:sz w:val="16"/>
      <w:szCs w:val="16"/>
    </w:rPr>
  </w:style>
  <w:style w:type="character" w:customStyle="1" w:styleId="newstextlink1">
    <w:name w:val="newstextlink1"/>
    <w:basedOn w:val="a0"/>
    <w:rsid w:val="00E578AE"/>
    <w:rPr>
      <w:strike w:val="0"/>
      <w:dstrike w:val="0"/>
      <w:color w:val="000000"/>
      <w:sz w:val="17"/>
      <w:szCs w:val="17"/>
      <w:u w:val="none"/>
      <w:effect w:val="none"/>
    </w:rPr>
  </w:style>
  <w:style w:type="character" w:customStyle="1" w:styleId="headertext1">
    <w:name w:val="headertext1"/>
    <w:basedOn w:val="a0"/>
    <w:rsid w:val="00C67157"/>
    <w:rPr>
      <w:rFonts w:ascii="Tahoma" w:hAnsi="Tahoma" w:cs="Tahoma" w:hint="default"/>
      <w:b/>
      <w:bCs/>
      <w:color w:val="000000"/>
      <w:sz w:val="18"/>
      <w:szCs w:val="18"/>
    </w:rPr>
  </w:style>
  <w:style w:type="character" w:customStyle="1" w:styleId="SUBST">
    <w:name w:val="__SUBST"/>
    <w:rsid w:val="0078140B"/>
    <w:rPr>
      <w:b/>
      <w:bCs/>
      <w:i/>
      <w:iCs/>
      <w:sz w:val="22"/>
      <w:szCs w:val="22"/>
    </w:rPr>
  </w:style>
  <w:style w:type="paragraph" w:customStyle="1" w:styleId="6">
    <w:name w:val="Обычный6"/>
    <w:uiPriority w:val="99"/>
    <w:rsid w:val="00F872AB"/>
    <w:pPr>
      <w:suppressAutoHyphens/>
      <w:autoSpaceDE w:val="0"/>
    </w:pPr>
    <w:rPr>
      <w:rFonts w:cs="Calibri"/>
      <w:lang w:val="en-GB" w:eastAsia="ar-SA"/>
    </w:rPr>
  </w:style>
</w:styles>
</file>

<file path=word/webSettings.xml><?xml version="1.0" encoding="utf-8"?>
<w:webSettings xmlns:r="http://schemas.openxmlformats.org/officeDocument/2006/relationships" xmlns:w="http://schemas.openxmlformats.org/wordprocessingml/2006/main">
  <w:divs>
    <w:div w:id="1869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E3E1-6EA1-4B44-9F58-63619B1C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967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Приложение 18</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18</dc:title>
  <dc:subject/>
  <dc:creator>Prof-SlejovaNA</dc:creator>
  <cp:keywords/>
  <cp:lastModifiedBy>Your User Name</cp:lastModifiedBy>
  <cp:revision>4</cp:revision>
  <cp:lastPrinted>2012-05-24T08:55:00Z</cp:lastPrinted>
  <dcterms:created xsi:type="dcterms:W3CDTF">2012-06-27T12:08:00Z</dcterms:created>
  <dcterms:modified xsi:type="dcterms:W3CDTF">2012-06-28T05:37:00Z</dcterms:modified>
</cp:coreProperties>
</file>