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5" w:rsidRDefault="006B2B1A" w:rsidP="006B2B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B2B1A">
        <w:rPr>
          <w:rFonts w:ascii="Times New Roman" w:hAnsi="Times New Roman" w:cs="Times New Roman"/>
        </w:rPr>
        <w:t>УТВЕРЖДЕНО</w:t>
      </w:r>
    </w:p>
    <w:p w:rsidR="006B2B1A" w:rsidRDefault="006B2B1A" w:rsidP="006B2B1A">
      <w:pPr>
        <w:pStyle w:val="1"/>
        <w:shd w:val="clear" w:color="auto" w:fill="auto"/>
        <w:spacing w:after="0" w:line="254" w:lineRule="exact"/>
        <w:ind w:left="6260"/>
      </w:pPr>
      <w:r>
        <w:t>Решением Ревизионной комиссии</w:t>
      </w:r>
    </w:p>
    <w:p w:rsidR="006B2B1A" w:rsidRDefault="00620C3E" w:rsidP="006B2B1A">
      <w:pPr>
        <w:pStyle w:val="1"/>
        <w:shd w:val="clear" w:color="auto" w:fill="auto"/>
        <w:spacing w:after="0" w:line="254" w:lineRule="exact"/>
        <w:ind w:left="6260"/>
      </w:pPr>
      <w:r>
        <w:t xml:space="preserve">ОАО «ЯТЭК» </w:t>
      </w:r>
      <w:r w:rsidRPr="00620C3E">
        <w:t>21</w:t>
      </w:r>
      <w:r>
        <w:t>.04.</w:t>
      </w:r>
      <w:r w:rsidR="006B2B1A">
        <w:t>2016 г.</w:t>
      </w:r>
    </w:p>
    <w:p w:rsidR="006B2B1A" w:rsidRDefault="006B2B1A" w:rsidP="006B2B1A">
      <w:pPr>
        <w:pStyle w:val="1"/>
        <w:shd w:val="clear" w:color="auto" w:fill="auto"/>
        <w:spacing w:after="0" w:line="254" w:lineRule="exact"/>
        <w:ind w:left="6260"/>
      </w:pPr>
      <w:r>
        <w:t>(</w:t>
      </w:r>
      <w:proofErr w:type="gramStart"/>
      <w:r>
        <w:t>Протокол б</w:t>
      </w:r>
      <w:proofErr w:type="gramEnd"/>
      <w:r>
        <w:t xml:space="preserve">/н от </w:t>
      </w:r>
      <w:r w:rsidR="00620C3E" w:rsidRPr="00620C3E">
        <w:t>21</w:t>
      </w:r>
      <w:r w:rsidR="00620C3E">
        <w:t>.04.2016 г.</w:t>
      </w:r>
      <w:r>
        <w:t>)</w:t>
      </w:r>
    </w:p>
    <w:p w:rsidR="006B2B1A" w:rsidRDefault="006B2B1A" w:rsidP="006B2B1A">
      <w:pPr>
        <w:jc w:val="center"/>
        <w:rPr>
          <w:rFonts w:ascii="Times New Roman" w:hAnsi="Times New Roman" w:cs="Times New Roman"/>
        </w:rPr>
      </w:pPr>
    </w:p>
    <w:p w:rsidR="006B2B1A" w:rsidRDefault="006B2B1A" w:rsidP="006B2B1A">
      <w:pPr>
        <w:pStyle w:val="20"/>
        <w:shd w:val="clear" w:color="auto" w:fill="auto"/>
        <w:spacing w:before="0" w:after="0"/>
        <w:ind w:left="79"/>
      </w:pPr>
      <w:r>
        <w:t xml:space="preserve">ЗАКЛЮЧЕНИЕ </w:t>
      </w:r>
    </w:p>
    <w:p w:rsidR="006B2B1A" w:rsidRDefault="006B2B1A" w:rsidP="006B2B1A">
      <w:pPr>
        <w:pStyle w:val="20"/>
        <w:shd w:val="clear" w:color="auto" w:fill="auto"/>
        <w:spacing w:before="0" w:after="0"/>
        <w:ind w:left="79"/>
      </w:pPr>
      <w:r>
        <w:t>Ревизионной комиссии</w:t>
      </w:r>
    </w:p>
    <w:p w:rsidR="006B2B1A" w:rsidRDefault="006B2B1A" w:rsidP="006B2B1A">
      <w:pPr>
        <w:pStyle w:val="20"/>
        <w:shd w:val="clear" w:color="auto" w:fill="auto"/>
        <w:spacing w:before="0" w:after="0"/>
        <w:ind w:left="79"/>
      </w:pPr>
      <w:r>
        <w:t xml:space="preserve"> Открытого акционерного общества </w:t>
      </w:r>
    </w:p>
    <w:p w:rsidR="006B2B1A" w:rsidRDefault="006B2B1A" w:rsidP="006B2B1A">
      <w:pPr>
        <w:pStyle w:val="20"/>
        <w:shd w:val="clear" w:color="auto" w:fill="auto"/>
        <w:spacing w:before="0" w:after="0"/>
        <w:ind w:left="79"/>
      </w:pPr>
      <w:r>
        <w:t xml:space="preserve">«Якутская топливно-энергетическая компания» </w:t>
      </w:r>
    </w:p>
    <w:p w:rsidR="006B2B1A" w:rsidRDefault="006B2B1A" w:rsidP="006B2B1A">
      <w:pPr>
        <w:pStyle w:val="20"/>
        <w:shd w:val="clear" w:color="auto" w:fill="auto"/>
        <w:spacing w:before="0" w:after="0"/>
        <w:ind w:left="79"/>
      </w:pPr>
      <w:r>
        <w:t>по итогам проверки финансово-хозяйственной деятельности за 2015 год</w:t>
      </w:r>
    </w:p>
    <w:p w:rsidR="006B2B1A" w:rsidRDefault="006B2B1A" w:rsidP="006B2B1A">
      <w:pPr>
        <w:pStyle w:val="20"/>
        <w:shd w:val="clear" w:color="auto" w:fill="auto"/>
        <w:spacing w:before="0" w:after="0"/>
        <w:ind w:left="79"/>
      </w:pPr>
    </w:p>
    <w:p w:rsidR="006B2B1A" w:rsidRDefault="006B2B1A" w:rsidP="006B2B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Москва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«</w:t>
      </w:r>
      <w:r w:rsidR="00620C3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» </w:t>
      </w:r>
      <w:r w:rsidR="00620C3E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>2016г.</w:t>
      </w:r>
    </w:p>
    <w:p w:rsidR="006B2B1A" w:rsidRPr="006B2B1A" w:rsidRDefault="006B2B1A" w:rsidP="006B2B1A">
      <w:pPr>
        <w:widowControl w:val="0"/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Ревизионная комиссия Открытого акционерного общества «Якутская топливно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-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softHyphen/>
        <w:t>энергетическая компания» (да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лее - Общество), избранная на Г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одовом общем собрании акционеров Общества 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1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5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года в следующем составе:</w:t>
      </w:r>
    </w:p>
    <w:p w:rsidR="006B2B1A" w:rsidRP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0" w:line="26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Тимофеева И.А. (Председатель)</w:t>
      </w:r>
    </w:p>
    <w:p w:rsidR="006B2B1A" w:rsidRP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0" w:line="26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proofErr w:type="spellStart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Шамкуть</w:t>
      </w:r>
      <w:proofErr w:type="spellEnd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А.В.</w:t>
      </w:r>
    </w:p>
    <w:p w:rsidR="006B2B1A" w:rsidRP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0" w:line="26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Акиндинов С.В.</w:t>
      </w:r>
    </w:p>
    <w:p w:rsidR="006B2B1A" w:rsidRPr="006B2B1A" w:rsidRDefault="006B2B1A" w:rsidP="006B2B1A">
      <w:pPr>
        <w:widowControl w:val="0"/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proofErr w:type="gramStart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действующая</w:t>
      </w:r>
      <w:proofErr w:type="gramEnd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на основании Федерального закона от 26.12.1995 № 208-ФЗ «Об акционерных обществах», Устава и Положения о Ревизионной комиссии Общества,</w:t>
      </w:r>
    </w:p>
    <w:p w:rsidR="006B2B1A" w:rsidRDefault="006B2B1A" w:rsidP="006B2B1A">
      <w:pPr>
        <w:widowControl w:val="0"/>
        <w:spacing w:after="18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произвела проверку финансово-хозяйственной деятельности Общества за период с 01 января по 31 декабря 201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5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года.</w:t>
      </w:r>
    </w:p>
    <w:p w:rsidR="006B2B1A" w:rsidRPr="006B2B1A" w:rsidRDefault="006B2B1A" w:rsidP="006B2B1A">
      <w:pPr>
        <w:widowControl w:val="0"/>
        <w:spacing w:after="0" w:line="26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Цель проверки:</w:t>
      </w:r>
    </w:p>
    <w:p w:rsidR="006B2B1A" w:rsidRP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подтверждение достоверности данных, содержащихся в годовом отчете и годовой бухгалтерской отчетности Общества за 201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5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год;</w:t>
      </w:r>
    </w:p>
    <w:p w:rsid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223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выявление фактов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 Общества.</w:t>
      </w:r>
    </w:p>
    <w:p w:rsidR="006B2B1A" w:rsidRPr="006B2B1A" w:rsidRDefault="006B2B1A" w:rsidP="006B2B1A">
      <w:pPr>
        <w:widowControl w:val="0"/>
        <w:tabs>
          <w:tab w:val="left" w:pos="756"/>
        </w:tabs>
        <w:spacing w:after="0" w:line="264" w:lineRule="exact"/>
        <w:ind w:left="578" w:right="23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Ревизионная комиссия использовала метод выборочной проверки отдельных операций.</w:t>
      </w:r>
    </w:p>
    <w:p w:rsidR="006B2B1A" w:rsidRDefault="006B2B1A" w:rsidP="006B2B1A">
      <w:pPr>
        <w:widowControl w:val="0"/>
        <w:tabs>
          <w:tab w:val="left" w:pos="756"/>
        </w:tabs>
        <w:spacing w:after="0" w:line="264" w:lineRule="exact"/>
        <w:ind w:right="23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Анализ проводился на основании первичных документов, регистров бухгалтерского и налогового учета, пояснений, предоставленных руководством Общества, и включал в себя изучение раскрытия в финансовой (бухгалтерской) отчетности информации о финансово-хозяйственной деятельности, оценку принципов и методов бухгалтерского учета, а также правил подготовки финансовой (бухгалтерской) отчетности и годового отчета.</w:t>
      </w:r>
    </w:p>
    <w:p w:rsidR="006B2B1A" w:rsidRPr="006B2B1A" w:rsidRDefault="006B2B1A" w:rsidP="006B2B1A">
      <w:pPr>
        <w:widowControl w:val="0"/>
        <w:tabs>
          <w:tab w:val="left" w:pos="756"/>
        </w:tabs>
        <w:spacing w:after="0" w:line="264" w:lineRule="exact"/>
        <w:ind w:right="23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</w:p>
    <w:p w:rsidR="006B2B1A" w:rsidRDefault="006B2B1A" w:rsidP="006B2B1A">
      <w:pPr>
        <w:widowControl w:val="0"/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Также были рассмотрены результаты аудиторской проверки, проводившейся Обществом с ограниченной ответственностью «Бейкер Тилли </w:t>
      </w:r>
      <w:proofErr w:type="spellStart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Русаудит</w:t>
      </w:r>
      <w:proofErr w:type="spellEnd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».</w:t>
      </w:r>
    </w:p>
    <w:p w:rsidR="006B2B1A" w:rsidRDefault="006B2B1A" w:rsidP="006B2B1A">
      <w:pPr>
        <w:widowControl w:val="0"/>
        <w:spacing w:after="0" w:line="264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6B2B1A">
        <w:rPr>
          <w:rFonts w:ascii="Times New Roman" w:hAnsi="Times New Roman" w:cs="Times New Roman"/>
        </w:rPr>
        <w:t>По мнению аудитора, бухгалтерская отчетность Общества отражает достоверно во всех существенных отношениях финансовое положение по состоянию на 31 декабря 201</w:t>
      </w:r>
      <w:r>
        <w:rPr>
          <w:rFonts w:ascii="Times New Roman" w:hAnsi="Times New Roman" w:cs="Times New Roman"/>
        </w:rPr>
        <w:t>5</w:t>
      </w:r>
      <w:r w:rsidRPr="006B2B1A">
        <w:rPr>
          <w:rFonts w:ascii="Times New Roman" w:hAnsi="Times New Roman" w:cs="Times New Roman"/>
        </w:rPr>
        <w:t xml:space="preserve"> года, результаты его финансово-хозяйственной деятельности и движение денежных средств за 201</w:t>
      </w:r>
      <w:r>
        <w:rPr>
          <w:rFonts w:ascii="Times New Roman" w:hAnsi="Times New Roman" w:cs="Times New Roman"/>
        </w:rPr>
        <w:t>5</w:t>
      </w:r>
      <w:r w:rsidRPr="006B2B1A">
        <w:rPr>
          <w:rFonts w:ascii="Times New Roman" w:hAnsi="Times New Roman" w:cs="Times New Roman"/>
        </w:rPr>
        <w:t xml:space="preserve"> год в соответствии с требованиями законодательства Российской Федерации в части подготовки бухгалтерской отчетности.</w:t>
      </w:r>
    </w:p>
    <w:p w:rsidR="006B2B1A" w:rsidRDefault="006B2B1A" w:rsidP="006B2B1A">
      <w:pPr>
        <w:widowControl w:val="0"/>
        <w:spacing w:after="0" w:line="264" w:lineRule="exact"/>
        <w:ind w:left="20" w:right="20" w:firstLine="560"/>
        <w:jc w:val="both"/>
        <w:rPr>
          <w:rFonts w:ascii="Times New Roman" w:hAnsi="Times New Roman" w:cs="Times New Roman"/>
        </w:rPr>
      </w:pPr>
    </w:p>
    <w:p w:rsidR="006B2B1A" w:rsidRPr="006B2B1A" w:rsidRDefault="006B2B1A" w:rsidP="006B2B1A">
      <w:pPr>
        <w:widowControl w:val="0"/>
        <w:spacing w:after="0" w:line="26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По итогам проверки ревизионной комиссией были сделаны следующие выводы:</w:t>
      </w:r>
    </w:p>
    <w:p w:rsidR="006B2B1A" w:rsidRP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фактов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 не выявлено;</w:t>
      </w:r>
    </w:p>
    <w:p w:rsidR="006B2B1A" w:rsidRPr="006B2B1A" w:rsidRDefault="006B2B1A" w:rsidP="006B2B1A">
      <w:pPr>
        <w:widowControl w:val="0"/>
        <w:numPr>
          <w:ilvl w:val="0"/>
          <w:numId w:val="1"/>
        </w:numPr>
        <w:tabs>
          <w:tab w:val="left" w:pos="756"/>
        </w:tabs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данные, содержащиеся в годовой бухгалтерской отчетности и годовом отчете Общества за 201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5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год, достоверны.</w:t>
      </w:r>
    </w:p>
    <w:p w:rsidR="006B2B1A" w:rsidRPr="006B2B1A" w:rsidRDefault="006B2B1A" w:rsidP="006B2B1A">
      <w:pPr>
        <w:widowControl w:val="0"/>
        <w:spacing w:after="0" w:line="26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</w:p>
    <w:p w:rsidR="006B2B1A" w:rsidRPr="006B2B1A" w:rsidRDefault="006B2B1A" w:rsidP="006B2B1A">
      <w:pPr>
        <w:widowControl w:val="0"/>
        <w:tabs>
          <w:tab w:val="left" w:pos="7740"/>
        </w:tabs>
        <w:spacing w:after="0" w:line="528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Председатель комиссии: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ab/>
        <w:t>И.А. Тимофеева</w:t>
      </w:r>
    </w:p>
    <w:p w:rsidR="006B2B1A" w:rsidRPr="006B2B1A" w:rsidRDefault="006B2B1A" w:rsidP="006B2B1A">
      <w:pPr>
        <w:widowControl w:val="0"/>
        <w:tabs>
          <w:tab w:val="left" w:pos="7740"/>
        </w:tabs>
        <w:spacing w:after="0" w:line="528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Члены комиссии:</w:t>
      </w: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ab/>
        <w:t xml:space="preserve">А.В. </w:t>
      </w:r>
      <w:proofErr w:type="spellStart"/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Шамкуть</w:t>
      </w:r>
      <w:proofErr w:type="spellEnd"/>
    </w:p>
    <w:p w:rsidR="006B2B1A" w:rsidRPr="006B2B1A" w:rsidRDefault="006B2B1A" w:rsidP="006B2B1A">
      <w:pPr>
        <w:widowControl w:val="0"/>
        <w:spacing w:after="0" w:line="528" w:lineRule="exact"/>
        <w:ind w:left="7800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</w:pPr>
      <w:r w:rsidRPr="006B2B1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>С.В. Акиндинов</w:t>
      </w:r>
    </w:p>
    <w:p w:rsidR="006B2B1A" w:rsidRPr="006B2B1A" w:rsidRDefault="006B2B1A" w:rsidP="006B2B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2B1A" w:rsidRPr="006B2B1A" w:rsidSect="006B2B1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1245"/>
    <w:multiLevelType w:val="multilevel"/>
    <w:tmpl w:val="054EC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1A"/>
    <w:rsid w:val="00620C3E"/>
    <w:rsid w:val="006B2B1A"/>
    <w:rsid w:val="00A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2</cp:revision>
  <dcterms:created xsi:type="dcterms:W3CDTF">2016-04-07T09:59:00Z</dcterms:created>
  <dcterms:modified xsi:type="dcterms:W3CDTF">2016-04-21T10:30:00Z</dcterms:modified>
</cp:coreProperties>
</file>