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DD" w:rsidRPr="009D4631" w:rsidRDefault="00EF69A1" w:rsidP="00EF69A1">
      <w:pPr>
        <w:jc w:val="center"/>
        <w:rPr>
          <w:b/>
          <w:sz w:val="19"/>
          <w:szCs w:val="19"/>
        </w:rPr>
      </w:pPr>
      <w:r w:rsidRPr="009D4631">
        <w:rPr>
          <w:b/>
          <w:sz w:val="19"/>
          <w:szCs w:val="19"/>
        </w:rPr>
        <w:t xml:space="preserve">Сообщение о существенном факте </w:t>
      </w:r>
    </w:p>
    <w:p w:rsidR="00366219" w:rsidRPr="009D4631" w:rsidRDefault="00FD10DD" w:rsidP="00366219">
      <w:pPr>
        <w:widowControl w:val="0"/>
        <w:adjustRightInd w:val="0"/>
        <w:jc w:val="center"/>
        <w:rPr>
          <w:b/>
          <w:sz w:val="19"/>
          <w:szCs w:val="19"/>
        </w:rPr>
      </w:pPr>
      <w:r w:rsidRPr="009D4631">
        <w:rPr>
          <w:b/>
          <w:sz w:val="19"/>
          <w:szCs w:val="19"/>
        </w:rPr>
        <w:t>«</w:t>
      </w:r>
      <w:r w:rsidR="00366219" w:rsidRPr="009D4631">
        <w:rPr>
          <w:b/>
          <w:sz w:val="19"/>
          <w:szCs w:val="19"/>
        </w:rPr>
        <w:t>О приостановлении эмиссии эмиссионных ценных бумаг эмитента»</w:t>
      </w:r>
    </w:p>
    <w:p w:rsidR="00EF69A1" w:rsidRPr="00BC6481" w:rsidRDefault="00EF69A1" w:rsidP="009D4631">
      <w:pPr>
        <w:rPr>
          <w:b/>
          <w:bCs/>
          <w:sz w:val="19"/>
          <w:szCs w:val="19"/>
        </w:rPr>
      </w:pPr>
    </w:p>
    <w:p w:rsidR="00EF69A1" w:rsidRPr="00BC6481" w:rsidRDefault="00EF69A1" w:rsidP="00EF69A1">
      <w:pPr>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694"/>
        <w:gridCol w:w="1290"/>
        <w:gridCol w:w="851"/>
        <w:gridCol w:w="2835"/>
        <w:gridCol w:w="142"/>
      </w:tblGrid>
      <w:tr w:rsidR="00EF69A1" w:rsidRPr="00BC6481" w:rsidTr="00A32519">
        <w:tc>
          <w:tcPr>
            <w:tcW w:w="10234" w:type="dxa"/>
            <w:gridSpan w:val="12"/>
          </w:tcPr>
          <w:p w:rsidR="00EF69A1" w:rsidRPr="00BC6481" w:rsidRDefault="00EF69A1" w:rsidP="00A32519">
            <w:pPr>
              <w:jc w:val="center"/>
              <w:rPr>
                <w:sz w:val="19"/>
                <w:szCs w:val="19"/>
              </w:rPr>
            </w:pPr>
            <w:r w:rsidRPr="00BC6481">
              <w:rPr>
                <w:sz w:val="19"/>
                <w:szCs w:val="19"/>
              </w:rPr>
              <w:t>1. Общие сведения</w:t>
            </w:r>
          </w:p>
        </w:tc>
      </w:tr>
      <w:tr w:rsidR="00EF69A1" w:rsidRPr="00BC6481" w:rsidTr="00A32519">
        <w:tc>
          <w:tcPr>
            <w:tcW w:w="5117" w:type="dxa"/>
            <w:gridSpan w:val="8"/>
          </w:tcPr>
          <w:p w:rsidR="00EF69A1" w:rsidRPr="00BC6481" w:rsidRDefault="00EF69A1" w:rsidP="00A32519">
            <w:pPr>
              <w:ind w:left="85" w:right="85"/>
              <w:jc w:val="both"/>
              <w:rPr>
                <w:sz w:val="19"/>
                <w:szCs w:val="19"/>
              </w:rPr>
            </w:pPr>
            <w:r w:rsidRPr="00BC6481">
              <w:rPr>
                <w:sz w:val="19"/>
                <w:szCs w:val="19"/>
              </w:rPr>
              <w:t>1.1. Полное фирменное наименование эмитента (для некоммерческой организации – наименование)</w:t>
            </w:r>
          </w:p>
        </w:tc>
        <w:tc>
          <w:tcPr>
            <w:tcW w:w="5117" w:type="dxa"/>
            <w:gridSpan w:val="4"/>
          </w:tcPr>
          <w:p w:rsidR="00EF69A1" w:rsidRPr="00BC6481" w:rsidRDefault="00EF69A1" w:rsidP="00A32519">
            <w:pPr>
              <w:ind w:left="85" w:right="85"/>
              <w:jc w:val="both"/>
              <w:rPr>
                <w:sz w:val="19"/>
                <w:szCs w:val="19"/>
              </w:rPr>
            </w:pPr>
            <w:r w:rsidRPr="00BC6481">
              <w:rPr>
                <w:sz w:val="19"/>
                <w:szCs w:val="19"/>
              </w:rPr>
              <w:t xml:space="preserve">Открытое акционерное общество </w:t>
            </w:r>
          </w:p>
          <w:p w:rsidR="00EF69A1" w:rsidRPr="00BC6481" w:rsidRDefault="00EF69A1" w:rsidP="00A32519">
            <w:pPr>
              <w:ind w:left="85" w:right="85"/>
              <w:jc w:val="both"/>
              <w:rPr>
                <w:sz w:val="19"/>
                <w:szCs w:val="19"/>
              </w:rPr>
            </w:pPr>
            <w:r w:rsidRPr="00BC6481">
              <w:rPr>
                <w:sz w:val="19"/>
                <w:szCs w:val="19"/>
              </w:rPr>
              <w:t>«Якутская топливно-энергетическая компания»</w:t>
            </w:r>
          </w:p>
        </w:tc>
      </w:tr>
      <w:tr w:rsidR="00EF69A1" w:rsidRPr="00BC6481" w:rsidTr="00A32519">
        <w:tc>
          <w:tcPr>
            <w:tcW w:w="5117" w:type="dxa"/>
            <w:gridSpan w:val="8"/>
          </w:tcPr>
          <w:p w:rsidR="00EF69A1" w:rsidRPr="00BC6481" w:rsidRDefault="00EF69A1" w:rsidP="00A32519">
            <w:pPr>
              <w:ind w:left="85" w:right="85"/>
              <w:jc w:val="both"/>
              <w:rPr>
                <w:sz w:val="19"/>
                <w:szCs w:val="19"/>
              </w:rPr>
            </w:pPr>
            <w:r w:rsidRPr="00BC6481">
              <w:rPr>
                <w:sz w:val="19"/>
                <w:szCs w:val="19"/>
              </w:rPr>
              <w:t>1.2. Сокращенное фирменное наименование эмитента</w:t>
            </w:r>
          </w:p>
        </w:tc>
        <w:tc>
          <w:tcPr>
            <w:tcW w:w="5117" w:type="dxa"/>
            <w:gridSpan w:val="4"/>
          </w:tcPr>
          <w:p w:rsidR="00EF69A1" w:rsidRPr="00BC6481" w:rsidRDefault="00EF69A1" w:rsidP="00A32519">
            <w:pPr>
              <w:ind w:left="85" w:right="85"/>
              <w:jc w:val="both"/>
              <w:rPr>
                <w:sz w:val="19"/>
                <w:szCs w:val="19"/>
              </w:rPr>
            </w:pPr>
            <w:r w:rsidRPr="00BC6481">
              <w:rPr>
                <w:sz w:val="19"/>
                <w:szCs w:val="19"/>
              </w:rPr>
              <w:t>ОАО «ЯТЭК»</w:t>
            </w:r>
          </w:p>
        </w:tc>
      </w:tr>
      <w:tr w:rsidR="00EF69A1" w:rsidRPr="00BC6481" w:rsidTr="00A32519">
        <w:tc>
          <w:tcPr>
            <w:tcW w:w="5117" w:type="dxa"/>
            <w:gridSpan w:val="8"/>
          </w:tcPr>
          <w:p w:rsidR="00EF69A1" w:rsidRPr="00BC6481" w:rsidRDefault="00EF69A1" w:rsidP="00A32519">
            <w:pPr>
              <w:ind w:left="85" w:right="85"/>
              <w:jc w:val="both"/>
              <w:rPr>
                <w:sz w:val="19"/>
                <w:szCs w:val="19"/>
              </w:rPr>
            </w:pPr>
            <w:r w:rsidRPr="00BC6481">
              <w:rPr>
                <w:sz w:val="19"/>
                <w:szCs w:val="19"/>
              </w:rPr>
              <w:t>1.3. Место нахождения эмитента</w:t>
            </w:r>
          </w:p>
        </w:tc>
        <w:tc>
          <w:tcPr>
            <w:tcW w:w="5117" w:type="dxa"/>
            <w:gridSpan w:val="4"/>
          </w:tcPr>
          <w:p w:rsidR="00EF69A1" w:rsidRPr="00BC6481" w:rsidRDefault="00EF69A1" w:rsidP="00A32519">
            <w:pPr>
              <w:ind w:left="85" w:right="85"/>
              <w:jc w:val="both"/>
              <w:rPr>
                <w:sz w:val="19"/>
                <w:szCs w:val="19"/>
              </w:rPr>
            </w:pPr>
            <w:r w:rsidRPr="00BC6481">
              <w:rPr>
                <w:sz w:val="19"/>
                <w:szCs w:val="19"/>
              </w:rPr>
              <w:t xml:space="preserve">678214, Республика Саха (Якутия), Вилюйский улус, п. </w:t>
            </w:r>
            <w:proofErr w:type="spellStart"/>
            <w:r w:rsidRPr="00BC6481">
              <w:rPr>
                <w:sz w:val="19"/>
                <w:szCs w:val="19"/>
              </w:rPr>
              <w:t>Кысыл-Сыр</w:t>
            </w:r>
            <w:proofErr w:type="spellEnd"/>
            <w:r w:rsidRPr="00BC6481">
              <w:rPr>
                <w:sz w:val="19"/>
                <w:szCs w:val="19"/>
              </w:rPr>
              <w:t>, ул. Ленина, 4</w:t>
            </w:r>
          </w:p>
        </w:tc>
      </w:tr>
      <w:tr w:rsidR="00EF69A1" w:rsidRPr="00BC6481" w:rsidTr="00A32519">
        <w:tc>
          <w:tcPr>
            <w:tcW w:w="5117" w:type="dxa"/>
            <w:gridSpan w:val="8"/>
          </w:tcPr>
          <w:p w:rsidR="00EF69A1" w:rsidRPr="00BC6481" w:rsidRDefault="00EF69A1" w:rsidP="00A32519">
            <w:pPr>
              <w:ind w:left="85" w:right="85"/>
              <w:jc w:val="both"/>
              <w:rPr>
                <w:sz w:val="19"/>
                <w:szCs w:val="19"/>
              </w:rPr>
            </w:pPr>
            <w:r w:rsidRPr="00BC6481">
              <w:rPr>
                <w:sz w:val="19"/>
                <w:szCs w:val="19"/>
              </w:rPr>
              <w:t>1.4. ОГРН эмитента</w:t>
            </w:r>
          </w:p>
        </w:tc>
        <w:tc>
          <w:tcPr>
            <w:tcW w:w="5117" w:type="dxa"/>
            <w:gridSpan w:val="4"/>
          </w:tcPr>
          <w:p w:rsidR="00EF69A1" w:rsidRPr="00BC6481" w:rsidRDefault="00EF69A1" w:rsidP="00A32519">
            <w:pPr>
              <w:ind w:left="85" w:right="85"/>
              <w:jc w:val="both"/>
              <w:rPr>
                <w:sz w:val="19"/>
                <w:szCs w:val="19"/>
              </w:rPr>
            </w:pPr>
            <w:r w:rsidRPr="00BC6481">
              <w:rPr>
                <w:sz w:val="19"/>
                <w:szCs w:val="19"/>
              </w:rPr>
              <w:t>1021401062187</w:t>
            </w:r>
          </w:p>
        </w:tc>
      </w:tr>
      <w:tr w:rsidR="00EF69A1" w:rsidRPr="00BC6481" w:rsidTr="00A32519">
        <w:tc>
          <w:tcPr>
            <w:tcW w:w="5117" w:type="dxa"/>
            <w:gridSpan w:val="8"/>
          </w:tcPr>
          <w:p w:rsidR="00EF69A1" w:rsidRPr="00BC6481" w:rsidRDefault="00EF69A1" w:rsidP="00A32519">
            <w:pPr>
              <w:ind w:left="85" w:right="85"/>
              <w:jc w:val="both"/>
              <w:rPr>
                <w:sz w:val="19"/>
                <w:szCs w:val="19"/>
              </w:rPr>
            </w:pPr>
            <w:r w:rsidRPr="00BC6481">
              <w:rPr>
                <w:sz w:val="19"/>
                <w:szCs w:val="19"/>
              </w:rPr>
              <w:t>1.5. ИНН эмитента</w:t>
            </w:r>
          </w:p>
        </w:tc>
        <w:tc>
          <w:tcPr>
            <w:tcW w:w="5117" w:type="dxa"/>
            <w:gridSpan w:val="4"/>
          </w:tcPr>
          <w:p w:rsidR="00EF69A1" w:rsidRPr="00BC6481" w:rsidRDefault="00EF69A1" w:rsidP="00A32519">
            <w:pPr>
              <w:ind w:left="85" w:right="85"/>
              <w:jc w:val="both"/>
              <w:rPr>
                <w:sz w:val="19"/>
                <w:szCs w:val="19"/>
              </w:rPr>
            </w:pPr>
            <w:r w:rsidRPr="00BC6481">
              <w:rPr>
                <w:sz w:val="19"/>
                <w:szCs w:val="19"/>
              </w:rPr>
              <w:t>1435032049</w:t>
            </w:r>
          </w:p>
        </w:tc>
      </w:tr>
      <w:tr w:rsidR="00EF69A1" w:rsidRPr="00BC6481" w:rsidTr="00A32519">
        <w:tc>
          <w:tcPr>
            <w:tcW w:w="5117" w:type="dxa"/>
            <w:gridSpan w:val="8"/>
          </w:tcPr>
          <w:p w:rsidR="00EF69A1" w:rsidRPr="00BC6481" w:rsidRDefault="00EF69A1" w:rsidP="00A32519">
            <w:pPr>
              <w:ind w:left="85" w:right="85"/>
              <w:jc w:val="both"/>
              <w:rPr>
                <w:sz w:val="19"/>
                <w:szCs w:val="19"/>
              </w:rPr>
            </w:pPr>
            <w:r w:rsidRPr="00BC6481">
              <w:rPr>
                <w:sz w:val="19"/>
                <w:szCs w:val="19"/>
              </w:rPr>
              <w:t>1.6. Уникальный код эмитента, присвоенный регистрирующим органом</w:t>
            </w:r>
          </w:p>
        </w:tc>
        <w:tc>
          <w:tcPr>
            <w:tcW w:w="5117" w:type="dxa"/>
            <w:gridSpan w:val="4"/>
          </w:tcPr>
          <w:p w:rsidR="00EF69A1" w:rsidRPr="00BC6481" w:rsidRDefault="00EF69A1" w:rsidP="00A32519">
            <w:pPr>
              <w:ind w:left="85" w:right="85"/>
              <w:jc w:val="both"/>
              <w:rPr>
                <w:sz w:val="19"/>
                <w:szCs w:val="19"/>
              </w:rPr>
            </w:pPr>
            <w:r w:rsidRPr="00BC6481">
              <w:rPr>
                <w:sz w:val="19"/>
                <w:szCs w:val="19"/>
              </w:rPr>
              <w:t>20510-F</w:t>
            </w:r>
          </w:p>
        </w:tc>
      </w:tr>
      <w:tr w:rsidR="00EF69A1" w:rsidRPr="00BC6481" w:rsidTr="00A32519">
        <w:tc>
          <w:tcPr>
            <w:tcW w:w="5117" w:type="dxa"/>
            <w:gridSpan w:val="8"/>
          </w:tcPr>
          <w:p w:rsidR="00EF69A1" w:rsidRPr="00BC6481" w:rsidRDefault="00EF69A1" w:rsidP="00A32519">
            <w:pPr>
              <w:ind w:left="85" w:right="85"/>
              <w:jc w:val="both"/>
              <w:rPr>
                <w:sz w:val="19"/>
                <w:szCs w:val="19"/>
              </w:rPr>
            </w:pPr>
            <w:r w:rsidRPr="00BC6481">
              <w:rPr>
                <w:sz w:val="19"/>
                <w:szCs w:val="19"/>
              </w:rPr>
              <w:t>1.7. Адрес страницы в сети Интернет, используемой эмитентом для раскрытия информации</w:t>
            </w:r>
          </w:p>
        </w:tc>
        <w:tc>
          <w:tcPr>
            <w:tcW w:w="5117" w:type="dxa"/>
            <w:gridSpan w:val="4"/>
          </w:tcPr>
          <w:p w:rsidR="00EF69A1" w:rsidRPr="00BC6481" w:rsidRDefault="00EF69A1" w:rsidP="00EF69A1">
            <w:pPr>
              <w:ind w:left="85" w:right="85"/>
              <w:jc w:val="both"/>
              <w:rPr>
                <w:sz w:val="19"/>
                <w:szCs w:val="19"/>
              </w:rPr>
            </w:pPr>
            <w:r w:rsidRPr="00BC6481">
              <w:rPr>
                <w:sz w:val="19"/>
                <w:szCs w:val="19"/>
              </w:rPr>
              <w:t>http://www.yatec.ru</w:t>
            </w:r>
          </w:p>
        </w:tc>
      </w:tr>
      <w:tr w:rsidR="00EF69A1" w:rsidRPr="00BC6481" w:rsidTr="00A32519">
        <w:tc>
          <w:tcPr>
            <w:tcW w:w="10234" w:type="dxa"/>
            <w:gridSpan w:val="12"/>
          </w:tcPr>
          <w:p w:rsidR="00EF69A1" w:rsidRPr="00BC6481" w:rsidRDefault="00EF69A1" w:rsidP="00A32519">
            <w:pPr>
              <w:jc w:val="center"/>
              <w:rPr>
                <w:sz w:val="19"/>
                <w:szCs w:val="19"/>
              </w:rPr>
            </w:pPr>
            <w:r w:rsidRPr="00BC6481">
              <w:rPr>
                <w:sz w:val="19"/>
                <w:szCs w:val="19"/>
              </w:rPr>
              <w:t>2. Содержание сообщения</w:t>
            </w:r>
          </w:p>
        </w:tc>
      </w:tr>
      <w:tr w:rsidR="00EF69A1" w:rsidRPr="00BC6481" w:rsidTr="00A32519">
        <w:tc>
          <w:tcPr>
            <w:tcW w:w="10234" w:type="dxa"/>
            <w:gridSpan w:val="12"/>
          </w:tcPr>
          <w:p w:rsidR="00366219" w:rsidRPr="006D708E" w:rsidRDefault="00EF69A1" w:rsidP="00A32519">
            <w:pPr>
              <w:adjustRightInd w:val="0"/>
              <w:jc w:val="both"/>
              <w:outlineLvl w:val="3"/>
              <w:rPr>
                <w:color w:val="000000"/>
                <w:sz w:val="19"/>
                <w:szCs w:val="19"/>
              </w:rPr>
            </w:pPr>
            <w:r w:rsidRPr="006D708E">
              <w:rPr>
                <w:sz w:val="19"/>
                <w:szCs w:val="19"/>
              </w:rPr>
              <w:t xml:space="preserve">2.1. </w:t>
            </w:r>
            <w:r w:rsidR="00366219" w:rsidRPr="006D708E">
              <w:rPr>
                <w:sz w:val="19"/>
                <w:szCs w:val="19"/>
              </w:rPr>
              <w:t>Вид, категория (тип), серия и иные идентификационные признаки ценных бумаг</w:t>
            </w:r>
            <w:r w:rsidR="009D4631">
              <w:rPr>
                <w:sz w:val="19"/>
                <w:szCs w:val="19"/>
              </w:rPr>
              <w:t xml:space="preserve">: </w:t>
            </w:r>
            <w:r w:rsidR="00366219" w:rsidRPr="006D708E">
              <w:rPr>
                <w:sz w:val="19"/>
                <w:szCs w:val="19"/>
              </w:rPr>
              <w:t>облигации неконвертируемые процентные документарные на предъявителя серии 01 Открытого акционерного общества «Якутская топливно-энергетическая компания» с обязательным централизованным хранением</w:t>
            </w:r>
            <w:r w:rsidR="006D708E">
              <w:rPr>
                <w:sz w:val="19"/>
                <w:szCs w:val="19"/>
              </w:rPr>
              <w:t>.</w:t>
            </w:r>
          </w:p>
          <w:p w:rsidR="009D4631" w:rsidRDefault="00EF69A1" w:rsidP="00A32519">
            <w:pPr>
              <w:adjustRightInd w:val="0"/>
              <w:jc w:val="both"/>
              <w:outlineLvl w:val="3"/>
              <w:rPr>
                <w:sz w:val="19"/>
                <w:szCs w:val="19"/>
              </w:rPr>
            </w:pPr>
            <w:r w:rsidRPr="006D708E">
              <w:rPr>
                <w:sz w:val="19"/>
                <w:szCs w:val="19"/>
              </w:rPr>
              <w:t xml:space="preserve">2.2. </w:t>
            </w:r>
            <w:r w:rsidR="00366219" w:rsidRPr="006D708E">
              <w:rPr>
                <w:sz w:val="19"/>
                <w:szCs w:val="19"/>
              </w:rPr>
              <w:t xml:space="preserve">Срок погашения: </w:t>
            </w:r>
          </w:p>
          <w:p w:rsidR="00EF69A1" w:rsidRPr="006D708E" w:rsidRDefault="00366219" w:rsidP="00A32519">
            <w:pPr>
              <w:adjustRightInd w:val="0"/>
              <w:jc w:val="both"/>
              <w:outlineLvl w:val="3"/>
              <w:rPr>
                <w:sz w:val="19"/>
                <w:szCs w:val="19"/>
              </w:rPr>
            </w:pPr>
            <w:r w:rsidRPr="006D708E">
              <w:rPr>
                <w:sz w:val="19"/>
                <w:szCs w:val="19"/>
              </w:rPr>
              <w:t>Дата начала погашения: 1092-й (Одна тысяча девяносто второй) день с даты начала размещения Облигаций. Даты начала и окончания погашения Облигаций совпадают.</w:t>
            </w:r>
          </w:p>
          <w:p w:rsidR="00EF69A1" w:rsidRPr="006D708E" w:rsidRDefault="00EF69A1" w:rsidP="00A32519">
            <w:pPr>
              <w:tabs>
                <w:tab w:val="left" w:pos="0"/>
              </w:tabs>
              <w:jc w:val="both"/>
              <w:rPr>
                <w:sz w:val="19"/>
                <w:szCs w:val="19"/>
              </w:rPr>
            </w:pPr>
            <w:r w:rsidRPr="006D708E">
              <w:rPr>
                <w:sz w:val="19"/>
                <w:szCs w:val="19"/>
              </w:rPr>
              <w:t xml:space="preserve">2.3. </w:t>
            </w:r>
            <w:r w:rsidR="00366219" w:rsidRPr="006D708E">
              <w:rPr>
                <w:sz w:val="19"/>
                <w:szCs w:val="19"/>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w:t>
            </w:r>
            <w:proofErr w:type="gramStart"/>
            <w:r w:rsidR="00366219" w:rsidRPr="006D708E">
              <w:rPr>
                <w:sz w:val="19"/>
                <w:szCs w:val="19"/>
              </w:rPr>
              <w:t>присвоения</w:t>
            </w:r>
            <w:proofErr w:type="gramEnd"/>
            <w:r w:rsidR="00366219" w:rsidRPr="006D708E">
              <w:rPr>
                <w:sz w:val="19"/>
                <w:szCs w:val="19"/>
              </w:rPr>
              <w:t xml:space="preserve"> в случае если в соответствии с Федеральным законом</w:t>
            </w:r>
            <w:r w:rsidR="006D708E">
              <w:rPr>
                <w:sz w:val="19"/>
                <w:szCs w:val="19"/>
              </w:rPr>
              <w:t xml:space="preserve"> «О рынке ценных бумаг»</w:t>
            </w:r>
            <w:r w:rsidR="00366219" w:rsidRPr="006D708E">
              <w:rPr>
                <w:sz w:val="19"/>
                <w:szCs w:val="19"/>
              </w:rPr>
              <w:t xml:space="preserve"> выпуск (дополнительный выпуск) ценных бумаг не подлежит государственной регистрации)</w:t>
            </w:r>
            <w:r w:rsidRPr="006D708E">
              <w:rPr>
                <w:sz w:val="19"/>
                <w:szCs w:val="19"/>
              </w:rPr>
              <w:t xml:space="preserve">: </w:t>
            </w:r>
            <w:r w:rsidR="006D708E">
              <w:rPr>
                <w:sz w:val="19"/>
                <w:szCs w:val="19"/>
              </w:rPr>
              <w:t>выпуск не зарегистрирован.</w:t>
            </w:r>
          </w:p>
          <w:p w:rsidR="00EF69A1" w:rsidRPr="006D708E" w:rsidRDefault="00EF69A1" w:rsidP="00A32519">
            <w:pPr>
              <w:tabs>
                <w:tab w:val="left" w:pos="0"/>
              </w:tabs>
              <w:jc w:val="both"/>
              <w:rPr>
                <w:sz w:val="19"/>
                <w:szCs w:val="19"/>
              </w:rPr>
            </w:pPr>
            <w:r w:rsidRPr="006D708E">
              <w:rPr>
                <w:sz w:val="19"/>
                <w:szCs w:val="19"/>
              </w:rPr>
              <w:t xml:space="preserve">2.4. </w:t>
            </w:r>
            <w:r w:rsidR="00366219" w:rsidRPr="006D708E">
              <w:rPr>
                <w:sz w:val="19"/>
                <w:szCs w:val="19"/>
              </w:rPr>
              <w:t xml:space="preserve">Наименование регистрирующего органа, осуществившего государственную регистрацию выпуска (дополнительного выпуска) ценных бумаг (наименование органа, присвоившего выпуску (дополнительному выпуску) ценных бумаг идентификационный </w:t>
            </w:r>
            <w:proofErr w:type="gramStart"/>
            <w:r w:rsidR="00366219" w:rsidRPr="006D708E">
              <w:rPr>
                <w:sz w:val="19"/>
                <w:szCs w:val="19"/>
              </w:rPr>
              <w:t>номер</w:t>
            </w:r>
            <w:proofErr w:type="gramEnd"/>
            <w:r w:rsidR="00366219" w:rsidRPr="006D708E">
              <w:rPr>
                <w:sz w:val="19"/>
                <w:szCs w:val="19"/>
              </w:rPr>
              <w:t xml:space="preserve"> в случае если в соответствии с Федеральным законом</w:t>
            </w:r>
            <w:r w:rsidR="006D708E">
              <w:rPr>
                <w:sz w:val="19"/>
                <w:szCs w:val="19"/>
              </w:rPr>
              <w:t xml:space="preserve"> «О рынке ценных бумаг»</w:t>
            </w:r>
            <w:r w:rsidR="00366219" w:rsidRPr="006D708E">
              <w:rPr>
                <w:sz w:val="19"/>
                <w:szCs w:val="19"/>
              </w:rPr>
              <w:t xml:space="preserve"> выпуск (дополнительный выпуск) ценных бумаг не подлежит государственной регистрации): выпуск не зарегистрирован</w:t>
            </w:r>
            <w:r w:rsidR="006D708E">
              <w:rPr>
                <w:sz w:val="19"/>
                <w:szCs w:val="19"/>
              </w:rPr>
              <w:t>.</w:t>
            </w:r>
          </w:p>
          <w:p w:rsidR="00EF69A1" w:rsidRPr="006D708E" w:rsidRDefault="006D708E" w:rsidP="00A32519">
            <w:pPr>
              <w:adjustRightInd w:val="0"/>
              <w:jc w:val="both"/>
              <w:outlineLvl w:val="3"/>
              <w:rPr>
                <w:sz w:val="19"/>
                <w:szCs w:val="19"/>
              </w:rPr>
            </w:pPr>
            <w:r>
              <w:rPr>
                <w:sz w:val="19"/>
                <w:szCs w:val="19"/>
              </w:rPr>
              <w:t xml:space="preserve">2.5. </w:t>
            </w:r>
            <w:r w:rsidR="00366219" w:rsidRPr="006D708E">
              <w:rPr>
                <w:sz w:val="19"/>
                <w:szCs w:val="19"/>
              </w:rPr>
              <w:t>Количество размещаемых ценных бумаг и номинальная стоимость:</w:t>
            </w:r>
            <w:r w:rsidR="00366219" w:rsidRPr="006D708E">
              <w:rPr>
                <w:color w:val="000000"/>
                <w:sz w:val="19"/>
                <w:szCs w:val="19"/>
              </w:rPr>
              <w:t xml:space="preserve"> 400 000 (Четыреста тысяч) штук номинальной стоимостью 1 000 (Одна тысяча) рублей каждая</w:t>
            </w:r>
            <w:r>
              <w:rPr>
                <w:color w:val="000000"/>
                <w:sz w:val="19"/>
                <w:szCs w:val="19"/>
              </w:rPr>
              <w:t>.</w:t>
            </w:r>
          </w:p>
          <w:p w:rsidR="00E85AFB" w:rsidRPr="006D708E" w:rsidRDefault="00366219" w:rsidP="00E85AFB">
            <w:pPr>
              <w:numPr>
                <w:ilvl w:val="1"/>
                <w:numId w:val="1"/>
              </w:numPr>
              <w:autoSpaceDE/>
              <w:autoSpaceDN/>
              <w:jc w:val="both"/>
              <w:rPr>
                <w:sz w:val="19"/>
                <w:szCs w:val="19"/>
              </w:rPr>
            </w:pPr>
            <w:r w:rsidRPr="006D708E">
              <w:rPr>
                <w:sz w:val="19"/>
                <w:szCs w:val="19"/>
              </w:rPr>
              <w:t>Способ размещения ценных бумаг</w:t>
            </w:r>
            <w:r w:rsidR="00EF69A1" w:rsidRPr="006D708E">
              <w:rPr>
                <w:sz w:val="19"/>
                <w:szCs w:val="19"/>
              </w:rPr>
              <w:t>:</w:t>
            </w:r>
            <w:r w:rsidRPr="006D708E">
              <w:rPr>
                <w:sz w:val="19"/>
                <w:szCs w:val="19"/>
              </w:rPr>
              <w:t xml:space="preserve"> открытая подписка</w:t>
            </w:r>
            <w:r w:rsidR="006D708E">
              <w:rPr>
                <w:sz w:val="19"/>
                <w:szCs w:val="19"/>
              </w:rPr>
              <w:t>.</w:t>
            </w:r>
          </w:p>
          <w:p w:rsidR="00E85AFB" w:rsidRPr="006D708E" w:rsidRDefault="00366219" w:rsidP="00E85AFB">
            <w:pPr>
              <w:numPr>
                <w:ilvl w:val="1"/>
                <w:numId w:val="1"/>
              </w:numPr>
              <w:autoSpaceDE/>
              <w:autoSpaceDN/>
              <w:jc w:val="both"/>
              <w:rPr>
                <w:sz w:val="19"/>
                <w:szCs w:val="19"/>
              </w:rPr>
            </w:pPr>
            <w:r w:rsidRPr="006D708E">
              <w:rPr>
                <w:sz w:val="19"/>
                <w:szCs w:val="19"/>
              </w:rPr>
              <w:t>Срок размещения ценных бумаг</w:t>
            </w:r>
            <w:r w:rsidR="00E85AFB" w:rsidRPr="006D708E">
              <w:rPr>
                <w:sz w:val="19"/>
                <w:szCs w:val="19"/>
              </w:rPr>
              <w:t xml:space="preserve"> или порядок его определения:</w:t>
            </w:r>
          </w:p>
          <w:p w:rsidR="00E85AFB" w:rsidRPr="006D708E" w:rsidRDefault="00E85AFB" w:rsidP="00E85AFB">
            <w:pPr>
              <w:widowControl w:val="0"/>
              <w:adjustRightInd w:val="0"/>
              <w:jc w:val="both"/>
              <w:rPr>
                <w:bCs/>
                <w:iCs/>
                <w:sz w:val="19"/>
                <w:szCs w:val="19"/>
              </w:rPr>
            </w:pPr>
            <w:r w:rsidRPr="006D708E">
              <w:rPr>
                <w:sz w:val="19"/>
                <w:szCs w:val="19"/>
              </w:rPr>
              <w:t xml:space="preserve">Дата начала размещения или порядок ее определения: </w:t>
            </w:r>
            <w:r w:rsidRPr="006D708E">
              <w:rPr>
                <w:bCs/>
                <w:iCs/>
                <w:sz w:val="19"/>
                <w:szCs w:val="19"/>
              </w:rPr>
              <w:t xml:space="preserve">Размещение Облигаций начинается не ранее чем через две недели после раскрытия Эмитентом информации о государственной регистрации выпуска Облигаций и порядке доступа к информации, содержащейся в Проспекте ценных бумаг. </w:t>
            </w:r>
            <w:proofErr w:type="gramStart"/>
            <w:r w:rsidRPr="006D708E">
              <w:rPr>
                <w:bCs/>
                <w:iCs/>
                <w:sz w:val="19"/>
                <w:szCs w:val="19"/>
              </w:rPr>
              <w:t>Указанный двухнедельный срок исчисляется с даты, следующей за датой публикации сообщения о государственной регистрации выпуска Облигаций и о порядке доступа к информации, содержащейся в проспекте ценных бумаг, в информационном ресурсе, обновляемом в режиме реального времени и предоставляемом информационным агентством, которое в установленном порядке уполномочено на проведение действий по раскрытию информации на рынке ценных бумаг.</w:t>
            </w:r>
            <w:proofErr w:type="gramEnd"/>
          </w:p>
          <w:p w:rsidR="00E85AFB" w:rsidRPr="006D708E" w:rsidRDefault="00E85AFB" w:rsidP="00E85AFB">
            <w:pPr>
              <w:widowControl w:val="0"/>
              <w:adjustRightInd w:val="0"/>
              <w:jc w:val="both"/>
              <w:rPr>
                <w:sz w:val="19"/>
                <w:szCs w:val="19"/>
              </w:rPr>
            </w:pPr>
            <w:r w:rsidRPr="006D708E">
              <w:rPr>
                <w:sz w:val="19"/>
                <w:szCs w:val="19"/>
              </w:rPr>
              <w:t xml:space="preserve">Порядок определения даты окончания размещения: </w:t>
            </w:r>
          </w:p>
          <w:p w:rsidR="00E85AFB" w:rsidRPr="006D708E" w:rsidRDefault="00E85AFB" w:rsidP="00E85AFB">
            <w:pPr>
              <w:widowControl w:val="0"/>
              <w:adjustRightInd w:val="0"/>
              <w:jc w:val="both"/>
              <w:rPr>
                <w:bCs/>
                <w:iCs/>
                <w:sz w:val="19"/>
                <w:szCs w:val="19"/>
              </w:rPr>
            </w:pPr>
            <w:r w:rsidRPr="006D708E">
              <w:rPr>
                <w:bCs/>
                <w:iCs/>
                <w:sz w:val="19"/>
                <w:szCs w:val="19"/>
              </w:rPr>
              <w:t xml:space="preserve">Датой окончания размещения Облигаций является более ранняя из следующих дат: </w:t>
            </w:r>
          </w:p>
          <w:p w:rsidR="00E85AFB" w:rsidRPr="006D708E" w:rsidRDefault="00E85AFB" w:rsidP="00E85AFB">
            <w:pPr>
              <w:widowControl w:val="0"/>
              <w:adjustRightInd w:val="0"/>
              <w:jc w:val="both"/>
              <w:rPr>
                <w:bCs/>
                <w:iCs/>
                <w:sz w:val="19"/>
                <w:szCs w:val="19"/>
              </w:rPr>
            </w:pPr>
            <w:r w:rsidRPr="006D708E">
              <w:rPr>
                <w:bCs/>
                <w:iCs/>
                <w:sz w:val="19"/>
                <w:szCs w:val="19"/>
              </w:rPr>
              <w:t xml:space="preserve">а) 10-й рабочий день, начиная с даты, следующей за датой начала размещения Облигаций; </w:t>
            </w:r>
          </w:p>
          <w:p w:rsidR="00E85AFB" w:rsidRPr="006D708E" w:rsidRDefault="00E85AFB" w:rsidP="00E85AFB">
            <w:pPr>
              <w:widowControl w:val="0"/>
              <w:adjustRightInd w:val="0"/>
              <w:jc w:val="both"/>
              <w:rPr>
                <w:bCs/>
                <w:iCs/>
                <w:sz w:val="19"/>
                <w:szCs w:val="19"/>
              </w:rPr>
            </w:pPr>
            <w:r w:rsidRPr="006D708E">
              <w:rPr>
                <w:bCs/>
                <w:iCs/>
                <w:sz w:val="19"/>
                <w:szCs w:val="19"/>
              </w:rPr>
              <w:t xml:space="preserve">б) дата размещения последней Облигации выпуска. </w:t>
            </w:r>
          </w:p>
          <w:p w:rsidR="00E85AFB" w:rsidRPr="006D708E" w:rsidRDefault="00E85AFB" w:rsidP="00E85AFB">
            <w:pPr>
              <w:widowControl w:val="0"/>
              <w:adjustRightInd w:val="0"/>
              <w:jc w:val="both"/>
              <w:rPr>
                <w:bCs/>
                <w:iCs/>
                <w:sz w:val="19"/>
                <w:szCs w:val="19"/>
              </w:rPr>
            </w:pPr>
            <w:r w:rsidRPr="006D708E">
              <w:rPr>
                <w:bCs/>
                <w:iCs/>
                <w:sz w:val="19"/>
                <w:szCs w:val="19"/>
              </w:rPr>
              <w:t>При этом срок размещения Облигаций не может превышать одного года с даты государственной регистрации выпуска Облигаций.</w:t>
            </w:r>
          </w:p>
          <w:p w:rsidR="006D708E" w:rsidRDefault="00E85AFB" w:rsidP="00E85AFB">
            <w:pPr>
              <w:pStyle w:val="a3"/>
              <w:numPr>
                <w:ilvl w:val="1"/>
                <w:numId w:val="1"/>
              </w:numPr>
              <w:jc w:val="both"/>
              <w:rPr>
                <w:sz w:val="19"/>
                <w:szCs w:val="19"/>
              </w:rPr>
            </w:pPr>
            <w:r w:rsidRPr="006D708E">
              <w:rPr>
                <w:sz w:val="19"/>
                <w:szCs w:val="19"/>
              </w:rPr>
              <w:t xml:space="preserve">Цена размещения ценных бумаг или порядок ее определения: </w:t>
            </w:r>
          </w:p>
          <w:p w:rsidR="00E85AFB" w:rsidRPr="006D708E" w:rsidRDefault="006D708E" w:rsidP="006D708E">
            <w:pPr>
              <w:jc w:val="both"/>
              <w:rPr>
                <w:sz w:val="19"/>
                <w:szCs w:val="19"/>
              </w:rPr>
            </w:pPr>
            <w:r>
              <w:rPr>
                <w:sz w:val="19"/>
                <w:szCs w:val="19"/>
              </w:rPr>
              <w:t>Ц</w:t>
            </w:r>
            <w:r w:rsidR="00E85AFB" w:rsidRPr="006D708E">
              <w:rPr>
                <w:sz w:val="19"/>
                <w:szCs w:val="19"/>
              </w:rPr>
              <w:t xml:space="preserve">ена размещения Облигаций в первый и последующие дни размещения устанавливается равной номинальной стоимости и составляет 1 000 (Одна тысяча) рублей за одну Облигацию </w:t>
            </w:r>
            <w:r w:rsidR="00E85AFB" w:rsidRPr="009D4631">
              <w:rPr>
                <w:rStyle w:val="SUBST"/>
                <w:b w:val="0"/>
                <w:sz w:val="19"/>
                <w:szCs w:val="19"/>
              </w:rPr>
              <w:t>(100% от номинальной стоимости)</w:t>
            </w:r>
            <w:r w:rsidR="00E85AFB" w:rsidRPr="009D4631">
              <w:rPr>
                <w:b/>
                <w:i/>
                <w:sz w:val="19"/>
                <w:szCs w:val="19"/>
              </w:rPr>
              <w:t>.</w:t>
            </w:r>
            <w:r w:rsidR="00E85AFB" w:rsidRPr="006D708E">
              <w:rPr>
                <w:sz w:val="19"/>
                <w:szCs w:val="19"/>
              </w:rPr>
              <w:t xml:space="preserve"> </w:t>
            </w:r>
          </w:p>
          <w:p w:rsidR="00E85AFB" w:rsidRPr="006D708E" w:rsidRDefault="00E85AFB" w:rsidP="00E85AFB">
            <w:pPr>
              <w:jc w:val="both"/>
              <w:rPr>
                <w:sz w:val="19"/>
                <w:szCs w:val="19"/>
              </w:rPr>
            </w:pPr>
            <w:r w:rsidRPr="006D708E">
              <w:rPr>
                <w:sz w:val="19"/>
                <w:szCs w:val="19"/>
              </w:rPr>
              <w:t>Начиная со второго дня размещения Облигаций, покупатель при совершении операции купли-продажи Облигаций также уплачивает накопленный купонный доход по Облигациям (НКД), рассчитываемый по следующей формуле:</w:t>
            </w:r>
          </w:p>
          <w:p w:rsidR="00E85AFB" w:rsidRPr="006D708E" w:rsidRDefault="00E85AFB" w:rsidP="00E85AFB">
            <w:pPr>
              <w:jc w:val="both"/>
              <w:rPr>
                <w:sz w:val="19"/>
                <w:szCs w:val="19"/>
              </w:rPr>
            </w:pPr>
            <w:r w:rsidRPr="006D708E">
              <w:rPr>
                <w:sz w:val="19"/>
                <w:szCs w:val="19"/>
              </w:rPr>
              <w:t xml:space="preserve">НКД = </w:t>
            </w:r>
            <w:proofErr w:type="spellStart"/>
            <w:r w:rsidRPr="006D708E">
              <w:rPr>
                <w:sz w:val="19"/>
                <w:szCs w:val="19"/>
              </w:rPr>
              <w:t>Nom</w:t>
            </w:r>
            <w:proofErr w:type="spellEnd"/>
            <w:r w:rsidRPr="006D708E">
              <w:rPr>
                <w:sz w:val="19"/>
                <w:szCs w:val="19"/>
              </w:rPr>
              <w:t xml:space="preserve"> * C(1) * (T - T0)/ 365/ 100%, где </w:t>
            </w:r>
          </w:p>
          <w:p w:rsidR="00E85AFB" w:rsidRPr="006D708E" w:rsidRDefault="00E85AFB" w:rsidP="00E85AFB">
            <w:pPr>
              <w:jc w:val="both"/>
              <w:rPr>
                <w:sz w:val="19"/>
                <w:szCs w:val="19"/>
              </w:rPr>
            </w:pPr>
            <w:r w:rsidRPr="006D708E">
              <w:rPr>
                <w:sz w:val="19"/>
                <w:szCs w:val="19"/>
              </w:rPr>
              <w:t xml:space="preserve">НКД – накопленный купонный доход по каждой Облигации, руб.; </w:t>
            </w:r>
          </w:p>
          <w:p w:rsidR="00E85AFB" w:rsidRPr="006D708E" w:rsidRDefault="00E85AFB" w:rsidP="00E85AFB">
            <w:pPr>
              <w:jc w:val="both"/>
              <w:rPr>
                <w:sz w:val="19"/>
                <w:szCs w:val="19"/>
              </w:rPr>
            </w:pPr>
            <w:proofErr w:type="spellStart"/>
            <w:r w:rsidRPr="006D708E">
              <w:rPr>
                <w:sz w:val="19"/>
                <w:szCs w:val="19"/>
              </w:rPr>
              <w:t>Nom</w:t>
            </w:r>
            <w:proofErr w:type="spellEnd"/>
            <w:r w:rsidRPr="006D708E">
              <w:rPr>
                <w:sz w:val="19"/>
                <w:szCs w:val="19"/>
              </w:rPr>
              <w:t xml:space="preserve"> – номинальная стоимость одной Облигации, руб.; </w:t>
            </w:r>
          </w:p>
          <w:p w:rsidR="00E85AFB" w:rsidRPr="006D708E" w:rsidRDefault="00E85AFB" w:rsidP="00E85AFB">
            <w:pPr>
              <w:jc w:val="both"/>
              <w:rPr>
                <w:sz w:val="19"/>
                <w:szCs w:val="19"/>
              </w:rPr>
            </w:pPr>
            <w:r w:rsidRPr="006D708E">
              <w:rPr>
                <w:sz w:val="19"/>
                <w:szCs w:val="19"/>
              </w:rPr>
              <w:t xml:space="preserve">С(1) – размер процентной ставки по первому купону, проценты </w:t>
            </w:r>
            <w:proofErr w:type="gramStart"/>
            <w:r w:rsidRPr="006D708E">
              <w:rPr>
                <w:sz w:val="19"/>
                <w:szCs w:val="19"/>
              </w:rPr>
              <w:t>годовых</w:t>
            </w:r>
            <w:proofErr w:type="gramEnd"/>
            <w:r w:rsidRPr="006D708E">
              <w:rPr>
                <w:sz w:val="19"/>
                <w:szCs w:val="19"/>
              </w:rPr>
              <w:t xml:space="preserve">; </w:t>
            </w:r>
          </w:p>
          <w:p w:rsidR="00E85AFB" w:rsidRPr="006D708E" w:rsidRDefault="00E85AFB" w:rsidP="00E85AFB">
            <w:pPr>
              <w:jc w:val="both"/>
              <w:rPr>
                <w:sz w:val="19"/>
                <w:szCs w:val="19"/>
              </w:rPr>
            </w:pPr>
            <w:r w:rsidRPr="006D708E">
              <w:rPr>
                <w:sz w:val="19"/>
                <w:szCs w:val="19"/>
              </w:rPr>
              <w:t xml:space="preserve">T – дата размещения Облигаций; </w:t>
            </w:r>
          </w:p>
          <w:p w:rsidR="00E85AFB" w:rsidRPr="006D708E" w:rsidRDefault="00E85AFB" w:rsidP="00E85AFB">
            <w:pPr>
              <w:jc w:val="both"/>
              <w:rPr>
                <w:sz w:val="19"/>
                <w:szCs w:val="19"/>
              </w:rPr>
            </w:pPr>
            <w:r w:rsidRPr="006D708E">
              <w:rPr>
                <w:sz w:val="19"/>
                <w:szCs w:val="19"/>
              </w:rPr>
              <w:t xml:space="preserve">T0 – дата начала размещения Облигаций. </w:t>
            </w:r>
          </w:p>
          <w:p w:rsidR="006D708E" w:rsidRDefault="00E85AFB" w:rsidP="006D708E">
            <w:pPr>
              <w:snapToGrid w:val="0"/>
              <w:jc w:val="both"/>
              <w:rPr>
                <w:sz w:val="19"/>
                <w:szCs w:val="19"/>
              </w:rPr>
            </w:pPr>
            <w:r w:rsidRPr="006D708E">
              <w:rPr>
                <w:sz w:val="19"/>
                <w:szCs w:val="19"/>
              </w:rPr>
              <w:t xml:space="preserve">Величина накопленного купонного дохода в расчете на одну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6D708E">
              <w:rPr>
                <w:sz w:val="19"/>
                <w:szCs w:val="19"/>
              </w:rPr>
              <w:t>за</w:t>
            </w:r>
            <w:proofErr w:type="gramEnd"/>
            <w:r w:rsidRPr="006D708E">
              <w:rPr>
                <w:sz w:val="19"/>
                <w:szCs w:val="19"/>
              </w:rPr>
              <w:t xml:space="preserve"> округляемой цифра находится в промежутке от 0 до 4, и изменяется, увеличиваясь на единицу, если первая за округляемой цифра находится в промежутке от 5 до 9).</w:t>
            </w:r>
          </w:p>
          <w:p w:rsidR="006D708E" w:rsidRDefault="006D708E" w:rsidP="006D708E">
            <w:pPr>
              <w:jc w:val="both"/>
              <w:rPr>
                <w:sz w:val="19"/>
                <w:szCs w:val="19"/>
              </w:rPr>
            </w:pPr>
            <w:r>
              <w:rPr>
                <w:sz w:val="19"/>
                <w:szCs w:val="19"/>
              </w:rPr>
              <w:t>2.9.</w:t>
            </w:r>
            <w:r w:rsidR="00366219" w:rsidRPr="006D708E">
              <w:rPr>
                <w:sz w:val="19"/>
                <w:szCs w:val="19"/>
              </w:rPr>
              <w:t>Форма оплаты размещаемых ценных бумаг:</w:t>
            </w:r>
            <w:r w:rsidR="00E85AFB" w:rsidRPr="006D708E">
              <w:rPr>
                <w:sz w:val="19"/>
                <w:szCs w:val="19"/>
              </w:rPr>
              <w:t xml:space="preserve"> </w:t>
            </w:r>
          </w:p>
          <w:p w:rsidR="006D708E" w:rsidRPr="006D708E" w:rsidRDefault="00E85AFB" w:rsidP="006D708E">
            <w:pPr>
              <w:jc w:val="both"/>
              <w:rPr>
                <w:sz w:val="19"/>
                <w:szCs w:val="19"/>
              </w:rPr>
            </w:pPr>
            <w:r w:rsidRPr="006D708E">
              <w:rPr>
                <w:sz w:val="19"/>
                <w:szCs w:val="19"/>
              </w:rPr>
              <w:t>При размещении Облигаций предусмотрена форма оплаты денежными средствами в валюте Российской Федерации в безналичном порядке. Возможность рассрочки при оплате ценных бумаг не предусмотрена.</w:t>
            </w:r>
          </w:p>
          <w:p w:rsidR="006D708E" w:rsidRDefault="00366219" w:rsidP="006D708E">
            <w:pPr>
              <w:pStyle w:val="a3"/>
              <w:numPr>
                <w:ilvl w:val="1"/>
                <w:numId w:val="6"/>
              </w:numPr>
              <w:jc w:val="both"/>
              <w:rPr>
                <w:sz w:val="19"/>
                <w:szCs w:val="19"/>
              </w:rPr>
            </w:pPr>
            <w:r w:rsidRPr="006D708E">
              <w:rPr>
                <w:sz w:val="19"/>
                <w:szCs w:val="19"/>
              </w:rPr>
              <w:t>Дата, с которой приостановлена эмиссия ценных бумаг:</w:t>
            </w:r>
            <w:r w:rsidR="00E85AFB" w:rsidRPr="006D708E">
              <w:rPr>
                <w:sz w:val="19"/>
                <w:szCs w:val="19"/>
              </w:rPr>
              <w:t xml:space="preserve"> 30.08.2012</w:t>
            </w:r>
            <w:r w:rsidR="006D708E">
              <w:rPr>
                <w:sz w:val="19"/>
                <w:szCs w:val="19"/>
              </w:rPr>
              <w:t xml:space="preserve"> г.</w:t>
            </w:r>
          </w:p>
          <w:p w:rsidR="009D4631" w:rsidRDefault="009D4631" w:rsidP="009D4631">
            <w:pPr>
              <w:jc w:val="both"/>
              <w:rPr>
                <w:sz w:val="19"/>
                <w:szCs w:val="19"/>
              </w:rPr>
            </w:pPr>
            <w:r>
              <w:rPr>
                <w:sz w:val="19"/>
                <w:szCs w:val="19"/>
              </w:rPr>
              <w:t>2.11.</w:t>
            </w:r>
            <w:r w:rsidR="00366219" w:rsidRPr="009D4631">
              <w:rPr>
                <w:sz w:val="19"/>
                <w:szCs w:val="19"/>
              </w:rPr>
              <w:t>Наименование регистрирующего органа, принявшего решение о приостановлении эмиссии ценных бумаг:</w:t>
            </w:r>
            <w:r w:rsidR="00E85AFB" w:rsidRPr="009D4631">
              <w:rPr>
                <w:sz w:val="19"/>
                <w:szCs w:val="19"/>
              </w:rPr>
              <w:t xml:space="preserve"> ФСФР России</w:t>
            </w:r>
            <w:r>
              <w:rPr>
                <w:sz w:val="19"/>
                <w:szCs w:val="19"/>
              </w:rPr>
              <w:t>.</w:t>
            </w:r>
          </w:p>
          <w:p w:rsidR="009D4631" w:rsidRDefault="009D4631" w:rsidP="009D4631">
            <w:pPr>
              <w:jc w:val="both"/>
              <w:rPr>
                <w:sz w:val="19"/>
                <w:szCs w:val="19"/>
              </w:rPr>
            </w:pPr>
            <w:r>
              <w:rPr>
                <w:sz w:val="19"/>
                <w:szCs w:val="19"/>
              </w:rPr>
              <w:t>2.12. О</w:t>
            </w:r>
            <w:r w:rsidRPr="009D4631">
              <w:rPr>
                <w:sz w:val="19"/>
                <w:szCs w:val="19"/>
              </w:rPr>
              <w:t>снования приостановления эмиссии ценных бумаг</w:t>
            </w:r>
            <w:r>
              <w:rPr>
                <w:sz w:val="19"/>
                <w:szCs w:val="19"/>
              </w:rPr>
              <w:t xml:space="preserve">: </w:t>
            </w:r>
            <w:r w:rsidRPr="00194802">
              <w:rPr>
                <w:sz w:val="19"/>
                <w:szCs w:val="19"/>
              </w:rPr>
              <w:t>информация отсутствует.</w:t>
            </w:r>
          </w:p>
          <w:p w:rsidR="009D4631" w:rsidRDefault="009D4631" w:rsidP="009D4631">
            <w:pPr>
              <w:jc w:val="both"/>
              <w:rPr>
                <w:sz w:val="19"/>
                <w:szCs w:val="19"/>
              </w:rPr>
            </w:pPr>
            <w:r>
              <w:rPr>
                <w:sz w:val="19"/>
                <w:szCs w:val="19"/>
              </w:rPr>
              <w:t xml:space="preserve">2.12. </w:t>
            </w:r>
            <w:r w:rsidR="00366219" w:rsidRPr="009D4631">
              <w:rPr>
                <w:sz w:val="19"/>
                <w:szCs w:val="19"/>
              </w:rPr>
              <w:t>Дата получения эмитентом письменного уведомления регистрирующего органа о приостановлении эмиссии ценных бумаг:</w:t>
            </w:r>
            <w:r w:rsidR="006D708E" w:rsidRPr="009D4631">
              <w:rPr>
                <w:sz w:val="19"/>
                <w:szCs w:val="19"/>
              </w:rPr>
              <w:t xml:space="preserve"> письменное уведомление не получено.</w:t>
            </w:r>
          </w:p>
          <w:p w:rsidR="006D708E" w:rsidRPr="009D4631" w:rsidRDefault="009D4631" w:rsidP="009D4631">
            <w:pPr>
              <w:jc w:val="both"/>
              <w:rPr>
                <w:sz w:val="19"/>
                <w:szCs w:val="19"/>
              </w:rPr>
            </w:pPr>
            <w:r>
              <w:rPr>
                <w:sz w:val="19"/>
                <w:szCs w:val="19"/>
              </w:rPr>
              <w:lastRenderedPageBreak/>
              <w:t xml:space="preserve">2.13. </w:t>
            </w:r>
            <w:r w:rsidR="00366219" w:rsidRPr="009D4631">
              <w:rPr>
                <w:sz w:val="19"/>
                <w:szCs w:val="19"/>
              </w:rPr>
              <w:t>Ограничения, связанные с приостановлением эмиссии ценных бумаг эмитента:</w:t>
            </w:r>
            <w:r w:rsidR="006D708E" w:rsidRPr="009D4631">
              <w:rPr>
                <w:sz w:val="19"/>
                <w:szCs w:val="19"/>
              </w:rPr>
              <w:t xml:space="preserve"> </w:t>
            </w:r>
            <w:r w:rsidR="006D708E" w:rsidRPr="009D4631">
              <w:rPr>
                <w:rFonts w:eastAsiaTheme="minorHAnsi"/>
                <w:sz w:val="19"/>
                <w:szCs w:val="19"/>
                <w:lang w:eastAsia="en-US"/>
              </w:rPr>
              <w:t>запрещается совершение сделок по размещению ценных бумаг</w:t>
            </w:r>
            <w:r w:rsidR="00D019C0">
              <w:rPr>
                <w:rFonts w:eastAsiaTheme="minorHAnsi"/>
                <w:sz w:val="19"/>
                <w:szCs w:val="19"/>
                <w:lang w:eastAsia="en-US"/>
              </w:rPr>
              <w:t xml:space="preserve"> и </w:t>
            </w:r>
            <w:r w:rsidR="00D019C0" w:rsidRPr="00D019C0">
              <w:rPr>
                <w:rFonts w:eastAsiaTheme="minorHAnsi"/>
                <w:sz w:val="19"/>
                <w:szCs w:val="19"/>
                <w:lang w:eastAsia="en-US"/>
              </w:rPr>
              <w:t>осуществление рекламы ценных бумаг этого выпуска.</w:t>
            </w:r>
          </w:p>
          <w:p w:rsidR="00366219" w:rsidRPr="006D708E" w:rsidRDefault="00366219" w:rsidP="006D708E">
            <w:pPr>
              <w:jc w:val="both"/>
              <w:rPr>
                <w:sz w:val="19"/>
                <w:szCs w:val="19"/>
              </w:rPr>
            </w:pPr>
          </w:p>
        </w:tc>
      </w:tr>
      <w:tr w:rsidR="00EF69A1" w:rsidRPr="00BC6481" w:rsidTr="00A32519">
        <w:trPr>
          <w:cantSplit/>
        </w:trPr>
        <w:tc>
          <w:tcPr>
            <w:tcW w:w="10235" w:type="dxa"/>
            <w:gridSpan w:val="12"/>
          </w:tcPr>
          <w:p w:rsidR="00EF69A1" w:rsidRPr="00BC6481" w:rsidRDefault="00EF69A1" w:rsidP="00A32519">
            <w:pPr>
              <w:jc w:val="center"/>
              <w:rPr>
                <w:sz w:val="19"/>
                <w:szCs w:val="19"/>
              </w:rPr>
            </w:pPr>
            <w:r w:rsidRPr="00BC6481">
              <w:rPr>
                <w:sz w:val="19"/>
                <w:szCs w:val="19"/>
              </w:rPr>
              <w:lastRenderedPageBreak/>
              <w:t>3. Подпись</w:t>
            </w:r>
          </w:p>
        </w:tc>
      </w:tr>
      <w:tr w:rsidR="00EF69A1" w:rsidRPr="00BC6481" w:rsidTr="00A325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EF69A1" w:rsidRPr="00BC6481" w:rsidRDefault="00EF69A1" w:rsidP="00A32519">
            <w:pPr>
              <w:spacing w:before="20"/>
              <w:ind w:left="85"/>
              <w:rPr>
                <w:sz w:val="19"/>
                <w:szCs w:val="19"/>
              </w:rPr>
            </w:pPr>
            <w:r w:rsidRPr="00BC6481">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bottom"/>
          </w:tcPr>
          <w:p w:rsidR="00EF69A1" w:rsidRPr="00BC6481" w:rsidRDefault="00EF69A1" w:rsidP="00A32519">
            <w:pPr>
              <w:jc w:val="center"/>
              <w:rPr>
                <w:sz w:val="19"/>
                <w:szCs w:val="19"/>
              </w:rPr>
            </w:pPr>
          </w:p>
        </w:tc>
        <w:tc>
          <w:tcPr>
            <w:tcW w:w="851" w:type="dxa"/>
            <w:tcBorders>
              <w:top w:val="single" w:sz="4" w:space="0" w:color="auto"/>
              <w:left w:val="nil"/>
              <w:bottom w:val="nil"/>
              <w:right w:val="nil"/>
            </w:tcBorders>
            <w:vAlign w:val="bottom"/>
          </w:tcPr>
          <w:p w:rsidR="00EF69A1" w:rsidRPr="00BC6481" w:rsidRDefault="00EF69A1" w:rsidP="00A32519">
            <w:pPr>
              <w:rPr>
                <w:sz w:val="19"/>
                <w:szCs w:val="19"/>
              </w:rPr>
            </w:pPr>
          </w:p>
        </w:tc>
        <w:tc>
          <w:tcPr>
            <w:tcW w:w="2835" w:type="dxa"/>
            <w:tcBorders>
              <w:top w:val="single" w:sz="4" w:space="0" w:color="auto"/>
              <w:left w:val="nil"/>
              <w:bottom w:val="nil"/>
              <w:right w:val="nil"/>
            </w:tcBorders>
            <w:vAlign w:val="bottom"/>
          </w:tcPr>
          <w:p w:rsidR="00EF69A1" w:rsidRPr="00BC6481" w:rsidRDefault="00EF69A1" w:rsidP="00A32519">
            <w:pPr>
              <w:jc w:val="center"/>
              <w:rPr>
                <w:sz w:val="19"/>
                <w:szCs w:val="19"/>
              </w:rPr>
            </w:pPr>
            <w:r w:rsidRPr="00BC6481">
              <w:rPr>
                <w:sz w:val="19"/>
                <w:szCs w:val="19"/>
              </w:rPr>
              <w:t>З.К.</w:t>
            </w:r>
            <w:r w:rsidR="009D4631">
              <w:rPr>
                <w:sz w:val="19"/>
                <w:szCs w:val="19"/>
              </w:rPr>
              <w:t xml:space="preserve"> </w:t>
            </w:r>
            <w:r w:rsidRPr="00BC6481">
              <w:rPr>
                <w:sz w:val="19"/>
                <w:szCs w:val="19"/>
              </w:rPr>
              <w:t>Юсупов</w:t>
            </w:r>
          </w:p>
        </w:tc>
        <w:tc>
          <w:tcPr>
            <w:tcW w:w="142" w:type="dxa"/>
            <w:tcBorders>
              <w:top w:val="single" w:sz="4" w:space="0" w:color="auto"/>
              <w:left w:val="nil"/>
              <w:bottom w:val="nil"/>
              <w:right w:val="single" w:sz="4" w:space="0" w:color="auto"/>
            </w:tcBorders>
            <w:vAlign w:val="bottom"/>
          </w:tcPr>
          <w:p w:rsidR="00EF69A1" w:rsidRPr="00BC6481" w:rsidRDefault="00EF69A1" w:rsidP="00A32519">
            <w:pPr>
              <w:rPr>
                <w:sz w:val="19"/>
                <w:szCs w:val="19"/>
              </w:rPr>
            </w:pPr>
          </w:p>
        </w:tc>
      </w:tr>
      <w:tr w:rsidR="00EF69A1" w:rsidRPr="00BC6481" w:rsidTr="00A325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EF69A1" w:rsidRPr="00BC6481" w:rsidRDefault="00EF69A1" w:rsidP="00A32519">
            <w:pPr>
              <w:ind w:left="57"/>
              <w:rPr>
                <w:sz w:val="19"/>
                <w:szCs w:val="19"/>
              </w:rPr>
            </w:pPr>
          </w:p>
        </w:tc>
        <w:tc>
          <w:tcPr>
            <w:tcW w:w="1984" w:type="dxa"/>
            <w:gridSpan w:val="2"/>
            <w:tcBorders>
              <w:top w:val="nil"/>
              <w:left w:val="nil"/>
              <w:bottom w:val="nil"/>
              <w:right w:val="nil"/>
            </w:tcBorders>
          </w:tcPr>
          <w:p w:rsidR="00EF69A1" w:rsidRPr="00BC6481" w:rsidRDefault="00EF69A1" w:rsidP="00A32519">
            <w:pPr>
              <w:jc w:val="center"/>
              <w:rPr>
                <w:sz w:val="19"/>
                <w:szCs w:val="19"/>
              </w:rPr>
            </w:pPr>
            <w:r w:rsidRPr="00BC6481">
              <w:rPr>
                <w:sz w:val="19"/>
                <w:szCs w:val="19"/>
              </w:rPr>
              <w:t>(подпись)</w:t>
            </w:r>
          </w:p>
        </w:tc>
        <w:tc>
          <w:tcPr>
            <w:tcW w:w="851" w:type="dxa"/>
            <w:tcBorders>
              <w:top w:val="nil"/>
              <w:left w:val="nil"/>
              <w:bottom w:val="nil"/>
              <w:right w:val="nil"/>
            </w:tcBorders>
          </w:tcPr>
          <w:p w:rsidR="00EF69A1" w:rsidRPr="00BC6481" w:rsidRDefault="00EF69A1" w:rsidP="00A32519">
            <w:pPr>
              <w:rPr>
                <w:sz w:val="19"/>
                <w:szCs w:val="19"/>
              </w:rPr>
            </w:pPr>
          </w:p>
        </w:tc>
        <w:tc>
          <w:tcPr>
            <w:tcW w:w="2835" w:type="dxa"/>
            <w:tcBorders>
              <w:top w:val="nil"/>
              <w:left w:val="nil"/>
              <w:bottom w:val="nil"/>
              <w:right w:val="nil"/>
            </w:tcBorders>
          </w:tcPr>
          <w:p w:rsidR="00EF69A1" w:rsidRPr="00BC6481" w:rsidRDefault="00EF69A1" w:rsidP="00A32519">
            <w:pPr>
              <w:rPr>
                <w:sz w:val="19"/>
                <w:szCs w:val="19"/>
              </w:rPr>
            </w:pPr>
          </w:p>
        </w:tc>
        <w:tc>
          <w:tcPr>
            <w:tcW w:w="142" w:type="dxa"/>
            <w:tcBorders>
              <w:top w:val="nil"/>
              <w:left w:val="nil"/>
              <w:bottom w:val="nil"/>
              <w:right w:val="single" w:sz="4" w:space="0" w:color="auto"/>
            </w:tcBorders>
          </w:tcPr>
          <w:p w:rsidR="00EF69A1" w:rsidRPr="00BC6481" w:rsidRDefault="00EF69A1" w:rsidP="00A32519">
            <w:pPr>
              <w:rPr>
                <w:sz w:val="19"/>
                <w:szCs w:val="19"/>
              </w:rPr>
            </w:pPr>
          </w:p>
        </w:tc>
      </w:tr>
      <w:tr w:rsidR="00EF69A1" w:rsidRPr="00BC6481" w:rsidTr="00A325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EF69A1" w:rsidRPr="00BC6481" w:rsidRDefault="00EF69A1" w:rsidP="00A32519">
            <w:pPr>
              <w:ind w:left="57"/>
              <w:rPr>
                <w:sz w:val="19"/>
                <w:szCs w:val="19"/>
              </w:rPr>
            </w:pPr>
            <w:r w:rsidRPr="00BC6481">
              <w:rPr>
                <w:sz w:val="19"/>
                <w:szCs w:val="19"/>
              </w:rPr>
              <w:t>3.2. Дата “</w:t>
            </w:r>
          </w:p>
        </w:tc>
        <w:tc>
          <w:tcPr>
            <w:tcW w:w="448" w:type="dxa"/>
            <w:tcBorders>
              <w:top w:val="nil"/>
              <w:left w:val="nil"/>
              <w:bottom w:val="single" w:sz="4" w:space="0" w:color="auto"/>
              <w:right w:val="nil"/>
            </w:tcBorders>
            <w:vAlign w:val="bottom"/>
          </w:tcPr>
          <w:p w:rsidR="00EF69A1" w:rsidRPr="00BC6481" w:rsidRDefault="006D708E" w:rsidP="00A32519">
            <w:pPr>
              <w:jc w:val="center"/>
              <w:rPr>
                <w:sz w:val="19"/>
                <w:szCs w:val="19"/>
                <w:highlight w:val="yellow"/>
              </w:rPr>
            </w:pPr>
            <w:r>
              <w:rPr>
                <w:sz w:val="19"/>
                <w:szCs w:val="19"/>
              </w:rPr>
              <w:t>0</w:t>
            </w:r>
            <w:r w:rsidR="00BD4AD5">
              <w:rPr>
                <w:sz w:val="19"/>
                <w:szCs w:val="19"/>
              </w:rPr>
              <w:t>4</w:t>
            </w:r>
          </w:p>
        </w:tc>
        <w:tc>
          <w:tcPr>
            <w:tcW w:w="293" w:type="dxa"/>
            <w:tcBorders>
              <w:top w:val="nil"/>
              <w:left w:val="nil"/>
              <w:bottom w:val="nil"/>
              <w:right w:val="nil"/>
            </w:tcBorders>
            <w:vAlign w:val="bottom"/>
          </w:tcPr>
          <w:p w:rsidR="00EF69A1" w:rsidRPr="00BC6481" w:rsidRDefault="00EF69A1" w:rsidP="00A32519">
            <w:pPr>
              <w:rPr>
                <w:sz w:val="19"/>
                <w:szCs w:val="19"/>
              </w:rPr>
            </w:pPr>
            <w:r w:rsidRPr="00BC6481">
              <w:rPr>
                <w:sz w:val="19"/>
                <w:szCs w:val="19"/>
              </w:rPr>
              <w:t>”</w:t>
            </w:r>
          </w:p>
        </w:tc>
        <w:tc>
          <w:tcPr>
            <w:tcW w:w="1318" w:type="dxa"/>
            <w:tcBorders>
              <w:top w:val="nil"/>
              <w:left w:val="nil"/>
              <w:bottom w:val="single" w:sz="4" w:space="0" w:color="auto"/>
              <w:right w:val="nil"/>
            </w:tcBorders>
            <w:vAlign w:val="bottom"/>
          </w:tcPr>
          <w:p w:rsidR="00EF69A1" w:rsidRPr="00BC6481" w:rsidRDefault="006D708E" w:rsidP="00A32519">
            <w:pPr>
              <w:jc w:val="center"/>
              <w:rPr>
                <w:sz w:val="19"/>
                <w:szCs w:val="19"/>
              </w:rPr>
            </w:pPr>
            <w:r>
              <w:rPr>
                <w:sz w:val="19"/>
                <w:szCs w:val="19"/>
              </w:rPr>
              <w:t>сентября</w:t>
            </w:r>
          </w:p>
        </w:tc>
        <w:tc>
          <w:tcPr>
            <w:tcW w:w="415" w:type="dxa"/>
            <w:tcBorders>
              <w:top w:val="nil"/>
              <w:left w:val="nil"/>
              <w:bottom w:val="nil"/>
              <w:right w:val="nil"/>
            </w:tcBorders>
            <w:vAlign w:val="bottom"/>
          </w:tcPr>
          <w:p w:rsidR="00EF69A1" w:rsidRPr="00BC6481" w:rsidRDefault="00EF69A1" w:rsidP="00A32519">
            <w:pPr>
              <w:jc w:val="right"/>
              <w:rPr>
                <w:sz w:val="19"/>
                <w:szCs w:val="19"/>
              </w:rPr>
            </w:pPr>
            <w:r w:rsidRPr="00BC6481">
              <w:rPr>
                <w:sz w:val="19"/>
                <w:szCs w:val="19"/>
              </w:rPr>
              <w:t>20</w:t>
            </w:r>
          </w:p>
        </w:tc>
        <w:tc>
          <w:tcPr>
            <w:tcW w:w="307" w:type="dxa"/>
            <w:tcBorders>
              <w:top w:val="nil"/>
              <w:left w:val="nil"/>
              <w:bottom w:val="single" w:sz="4" w:space="0" w:color="auto"/>
              <w:right w:val="nil"/>
            </w:tcBorders>
            <w:vAlign w:val="bottom"/>
          </w:tcPr>
          <w:p w:rsidR="00EF69A1" w:rsidRPr="00BC6481" w:rsidRDefault="00EF69A1" w:rsidP="00A32519">
            <w:pPr>
              <w:rPr>
                <w:sz w:val="19"/>
                <w:szCs w:val="19"/>
              </w:rPr>
            </w:pPr>
            <w:r w:rsidRPr="00BC6481">
              <w:rPr>
                <w:sz w:val="19"/>
                <w:szCs w:val="19"/>
              </w:rPr>
              <w:t>12</w:t>
            </w:r>
          </w:p>
        </w:tc>
        <w:tc>
          <w:tcPr>
            <w:tcW w:w="412" w:type="dxa"/>
            <w:tcBorders>
              <w:top w:val="nil"/>
              <w:left w:val="nil"/>
              <w:bottom w:val="nil"/>
              <w:right w:val="nil"/>
            </w:tcBorders>
            <w:vAlign w:val="bottom"/>
          </w:tcPr>
          <w:p w:rsidR="00EF69A1" w:rsidRPr="00BC6481" w:rsidRDefault="00EF69A1" w:rsidP="00BC6481">
            <w:pPr>
              <w:rPr>
                <w:sz w:val="19"/>
                <w:szCs w:val="19"/>
              </w:rPr>
            </w:pPr>
            <w:proofErr w:type="gramStart"/>
            <w:r w:rsidRPr="00BC6481">
              <w:rPr>
                <w:sz w:val="19"/>
                <w:szCs w:val="19"/>
              </w:rPr>
              <w:t>г</w:t>
            </w:r>
            <w:proofErr w:type="gramEnd"/>
            <w:r w:rsidRPr="00BC6481">
              <w:rPr>
                <w:sz w:val="19"/>
                <w:szCs w:val="19"/>
              </w:rPr>
              <w:t>.</w:t>
            </w:r>
          </w:p>
        </w:tc>
        <w:tc>
          <w:tcPr>
            <w:tcW w:w="1984" w:type="dxa"/>
            <w:gridSpan w:val="2"/>
            <w:tcBorders>
              <w:top w:val="nil"/>
              <w:left w:val="nil"/>
              <w:bottom w:val="nil"/>
              <w:right w:val="nil"/>
            </w:tcBorders>
            <w:vAlign w:val="bottom"/>
          </w:tcPr>
          <w:p w:rsidR="00EF69A1" w:rsidRPr="00BC6481" w:rsidRDefault="00EF69A1" w:rsidP="00A32519">
            <w:pPr>
              <w:jc w:val="center"/>
              <w:rPr>
                <w:sz w:val="19"/>
                <w:szCs w:val="19"/>
              </w:rPr>
            </w:pPr>
            <w:r w:rsidRPr="00BC6481">
              <w:rPr>
                <w:sz w:val="19"/>
                <w:szCs w:val="19"/>
              </w:rPr>
              <w:t>М.П.</w:t>
            </w:r>
          </w:p>
        </w:tc>
        <w:tc>
          <w:tcPr>
            <w:tcW w:w="3828" w:type="dxa"/>
            <w:gridSpan w:val="3"/>
            <w:tcBorders>
              <w:top w:val="nil"/>
              <w:left w:val="nil"/>
              <w:bottom w:val="nil"/>
              <w:right w:val="single" w:sz="4" w:space="0" w:color="auto"/>
            </w:tcBorders>
            <w:vAlign w:val="bottom"/>
          </w:tcPr>
          <w:p w:rsidR="00EF69A1" w:rsidRPr="00BC6481" w:rsidRDefault="00EF69A1" w:rsidP="00A32519">
            <w:pPr>
              <w:rPr>
                <w:sz w:val="19"/>
                <w:szCs w:val="19"/>
              </w:rPr>
            </w:pPr>
          </w:p>
        </w:tc>
      </w:tr>
      <w:tr w:rsidR="00EF69A1" w:rsidRPr="00BC6481" w:rsidTr="00A325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tcPr>
          <w:p w:rsidR="00EF69A1" w:rsidRPr="00BC6481" w:rsidRDefault="00EF69A1" w:rsidP="00A32519">
            <w:pPr>
              <w:ind w:left="57"/>
              <w:rPr>
                <w:sz w:val="19"/>
                <w:szCs w:val="19"/>
              </w:rPr>
            </w:pPr>
          </w:p>
        </w:tc>
        <w:tc>
          <w:tcPr>
            <w:tcW w:w="1984" w:type="dxa"/>
            <w:gridSpan w:val="2"/>
            <w:tcBorders>
              <w:top w:val="nil"/>
              <w:left w:val="nil"/>
              <w:bottom w:val="single" w:sz="4" w:space="0" w:color="auto"/>
              <w:right w:val="nil"/>
            </w:tcBorders>
          </w:tcPr>
          <w:p w:rsidR="00EF69A1" w:rsidRPr="00BC6481" w:rsidRDefault="00EF69A1" w:rsidP="00A32519">
            <w:pPr>
              <w:jc w:val="center"/>
              <w:rPr>
                <w:sz w:val="19"/>
                <w:szCs w:val="19"/>
              </w:rPr>
            </w:pPr>
          </w:p>
        </w:tc>
        <w:tc>
          <w:tcPr>
            <w:tcW w:w="3828" w:type="dxa"/>
            <w:gridSpan w:val="3"/>
            <w:tcBorders>
              <w:top w:val="nil"/>
              <w:left w:val="nil"/>
              <w:bottom w:val="single" w:sz="4" w:space="0" w:color="auto"/>
              <w:right w:val="single" w:sz="4" w:space="0" w:color="auto"/>
            </w:tcBorders>
          </w:tcPr>
          <w:p w:rsidR="00EF69A1" w:rsidRPr="00BC6481" w:rsidRDefault="00EF69A1" w:rsidP="00A32519">
            <w:pPr>
              <w:rPr>
                <w:sz w:val="19"/>
                <w:szCs w:val="19"/>
              </w:rPr>
            </w:pPr>
          </w:p>
        </w:tc>
      </w:tr>
    </w:tbl>
    <w:p w:rsidR="003343A1" w:rsidRPr="00BC6481" w:rsidRDefault="003343A1" w:rsidP="00EF69A1">
      <w:pPr>
        <w:ind w:hanging="851"/>
        <w:rPr>
          <w:sz w:val="19"/>
          <w:szCs w:val="19"/>
        </w:rPr>
      </w:pPr>
    </w:p>
    <w:sectPr w:rsidR="003343A1" w:rsidRPr="00BC6481" w:rsidSect="00BC6481">
      <w:pgSz w:w="11906" w:h="16838"/>
      <w:pgMar w:top="426"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58C5"/>
    <w:multiLevelType w:val="hybridMultilevel"/>
    <w:tmpl w:val="A3928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47E8E"/>
    <w:multiLevelType w:val="multilevel"/>
    <w:tmpl w:val="C3D0BE96"/>
    <w:lvl w:ilvl="0">
      <w:start w:val="2"/>
      <w:numFmt w:val="decimal"/>
      <w:lvlText w:val="%1"/>
      <w:lvlJc w:val="left"/>
      <w:pPr>
        <w:ind w:left="465" w:hanging="465"/>
      </w:pPr>
      <w:rPr>
        <w:rFonts w:hint="default"/>
        <w:sz w:val="26"/>
      </w:rPr>
    </w:lvl>
    <w:lvl w:ilvl="1">
      <w:start w:val="10"/>
      <w:numFmt w:val="decimal"/>
      <w:lvlText w:val="%1.%2"/>
      <w:lvlJc w:val="left"/>
      <w:pPr>
        <w:ind w:left="465" w:hanging="465"/>
      </w:pPr>
      <w:rPr>
        <w:rFonts w:hint="default"/>
        <w:sz w:val="19"/>
        <w:szCs w:val="19"/>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720" w:hanging="72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080" w:hanging="108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440" w:hanging="1440"/>
      </w:pPr>
      <w:rPr>
        <w:rFonts w:hint="default"/>
        <w:sz w:val="26"/>
      </w:rPr>
    </w:lvl>
  </w:abstractNum>
  <w:abstractNum w:abstractNumId="2">
    <w:nsid w:val="28B96996"/>
    <w:multiLevelType w:val="hybridMultilevel"/>
    <w:tmpl w:val="CF0C8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A66E3D"/>
    <w:multiLevelType w:val="multilevel"/>
    <w:tmpl w:val="171275E6"/>
    <w:lvl w:ilvl="0">
      <w:start w:val="2"/>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15F6AEE"/>
    <w:multiLevelType w:val="multilevel"/>
    <w:tmpl w:val="FE886D9A"/>
    <w:lvl w:ilvl="0">
      <w:start w:val="2"/>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1EE764D"/>
    <w:multiLevelType w:val="multilevel"/>
    <w:tmpl w:val="5A76E53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EF69A1"/>
    <w:rsid w:val="00000AE6"/>
    <w:rsid w:val="00000C75"/>
    <w:rsid w:val="0000118B"/>
    <w:rsid w:val="00001DE1"/>
    <w:rsid w:val="00002F95"/>
    <w:rsid w:val="00004C47"/>
    <w:rsid w:val="00004EF6"/>
    <w:rsid w:val="00005AD2"/>
    <w:rsid w:val="000061EC"/>
    <w:rsid w:val="00011362"/>
    <w:rsid w:val="00011FAA"/>
    <w:rsid w:val="00014455"/>
    <w:rsid w:val="00014478"/>
    <w:rsid w:val="00015F6E"/>
    <w:rsid w:val="00017A19"/>
    <w:rsid w:val="00017F76"/>
    <w:rsid w:val="000211B7"/>
    <w:rsid w:val="0002133E"/>
    <w:rsid w:val="000220E2"/>
    <w:rsid w:val="00023A24"/>
    <w:rsid w:val="00024D7F"/>
    <w:rsid w:val="0002563C"/>
    <w:rsid w:val="0002596E"/>
    <w:rsid w:val="00026F1A"/>
    <w:rsid w:val="000272FA"/>
    <w:rsid w:val="00027E26"/>
    <w:rsid w:val="00030248"/>
    <w:rsid w:val="00031729"/>
    <w:rsid w:val="0003300C"/>
    <w:rsid w:val="00035692"/>
    <w:rsid w:val="00037C93"/>
    <w:rsid w:val="00040575"/>
    <w:rsid w:val="00040F8F"/>
    <w:rsid w:val="000420B0"/>
    <w:rsid w:val="00042558"/>
    <w:rsid w:val="00042D94"/>
    <w:rsid w:val="000462F0"/>
    <w:rsid w:val="0004658B"/>
    <w:rsid w:val="000469FD"/>
    <w:rsid w:val="00046C17"/>
    <w:rsid w:val="0004738D"/>
    <w:rsid w:val="000474E3"/>
    <w:rsid w:val="00050325"/>
    <w:rsid w:val="000508AC"/>
    <w:rsid w:val="000549BF"/>
    <w:rsid w:val="00055A8E"/>
    <w:rsid w:val="0005613B"/>
    <w:rsid w:val="00056B35"/>
    <w:rsid w:val="00056B49"/>
    <w:rsid w:val="00057DC5"/>
    <w:rsid w:val="00060893"/>
    <w:rsid w:val="000609E7"/>
    <w:rsid w:val="0006231E"/>
    <w:rsid w:val="000651AE"/>
    <w:rsid w:val="0006528B"/>
    <w:rsid w:val="00065890"/>
    <w:rsid w:val="00065ACA"/>
    <w:rsid w:val="000670A4"/>
    <w:rsid w:val="0006725F"/>
    <w:rsid w:val="0006738F"/>
    <w:rsid w:val="000704B6"/>
    <w:rsid w:val="00071A7C"/>
    <w:rsid w:val="000727FE"/>
    <w:rsid w:val="00073788"/>
    <w:rsid w:val="00073898"/>
    <w:rsid w:val="00074DC8"/>
    <w:rsid w:val="0007508D"/>
    <w:rsid w:val="0007527C"/>
    <w:rsid w:val="00075ABB"/>
    <w:rsid w:val="000760F9"/>
    <w:rsid w:val="00076AB3"/>
    <w:rsid w:val="00077A6C"/>
    <w:rsid w:val="000801B4"/>
    <w:rsid w:val="000801D3"/>
    <w:rsid w:val="00081F65"/>
    <w:rsid w:val="000838E1"/>
    <w:rsid w:val="00084660"/>
    <w:rsid w:val="0008479D"/>
    <w:rsid w:val="00085AD8"/>
    <w:rsid w:val="00086BA7"/>
    <w:rsid w:val="00087B24"/>
    <w:rsid w:val="00090B2C"/>
    <w:rsid w:val="00091292"/>
    <w:rsid w:val="00092788"/>
    <w:rsid w:val="000934AE"/>
    <w:rsid w:val="00093BDD"/>
    <w:rsid w:val="00094E72"/>
    <w:rsid w:val="000970E1"/>
    <w:rsid w:val="000A0602"/>
    <w:rsid w:val="000A168C"/>
    <w:rsid w:val="000A3DFB"/>
    <w:rsid w:val="000A54F7"/>
    <w:rsid w:val="000A77C2"/>
    <w:rsid w:val="000A7A63"/>
    <w:rsid w:val="000B0EEA"/>
    <w:rsid w:val="000B18D3"/>
    <w:rsid w:val="000B21A1"/>
    <w:rsid w:val="000B2417"/>
    <w:rsid w:val="000B27E7"/>
    <w:rsid w:val="000B2E0F"/>
    <w:rsid w:val="000B439D"/>
    <w:rsid w:val="000B506E"/>
    <w:rsid w:val="000B73A1"/>
    <w:rsid w:val="000C03D0"/>
    <w:rsid w:val="000C072F"/>
    <w:rsid w:val="000C1794"/>
    <w:rsid w:val="000C1964"/>
    <w:rsid w:val="000C1EBB"/>
    <w:rsid w:val="000C2BB0"/>
    <w:rsid w:val="000C387D"/>
    <w:rsid w:val="000C3B75"/>
    <w:rsid w:val="000C522C"/>
    <w:rsid w:val="000C5AEC"/>
    <w:rsid w:val="000C691D"/>
    <w:rsid w:val="000C7014"/>
    <w:rsid w:val="000C70D2"/>
    <w:rsid w:val="000D0642"/>
    <w:rsid w:val="000D1411"/>
    <w:rsid w:val="000D16DB"/>
    <w:rsid w:val="000D1AD1"/>
    <w:rsid w:val="000D2C1D"/>
    <w:rsid w:val="000D2FEF"/>
    <w:rsid w:val="000D4440"/>
    <w:rsid w:val="000D4542"/>
    <w:rsid w:val="000E0F9A"/>
    <w:rsid w:val="000E2C71"/>
    <w:rsid w:val="000E2E46"/>
    <w:rsid w:val="000E405F"/>
    <w:rsid w:val="000E591C"/>
    <w:rsid w:val="000E5973"/>
    <w:rsid w:val="000E5F18"/>
    <w:rsid w:val="000E6BC7"/>
    <w:rsid w:val="000E7ED7"/>
    <w:rsid w:val="000F0651"/>
    <w:rsid w:val="000F1D36"/>
    <w:rsid w:val="000F2D1F"/>
    <w:rsid w:val="000F2DC0"/>
    <w:rsid w:val="000F43CB"/>
    <w:rsid w:val="000F4FB0"/>
    <w:rsid w:val="000F6951"/>
    <w:rsid w:val="000F6D22"/>
    <w:rsid w:val="000F6E1B"/>
    <w:rsid w:val="000F71BC"/>
    <w:rsid w:val="001000B3"/>
    <w:rsid w:val="00101D4A"/>
    <w:rsid w:val="00103ED6"/>
    <w:rsid w:val="00106841"/>
    <w:rsid w:val="001076B2"/>
    <w:rsid w:val="001101B8"/>
    <w:rsid w:val="001106A0"/>
    <w:rsid w:val="00110BF2"/>
    <w:rsid w:val="001116BB"/>
    <w:rsid w:val="001116FB"/>
    <w:rsid w:val="0011222F"/>
    <w:rsid w:val="001127CB"/>
    <w:rsid w:val="0011310D"/>
    <w:rsid w:val="00113876"/>
    <w:rsid w:val="001139A6"/>
    <w:rsid w:val="00114C43"/>
    <w:rsid w:val="00117EA7"/>
    <w:rsid w:val="00120707"/>
    <w:rsid w:val="001218D3"/>
    <w:rsid w:val="00121A5C"/>
    <w:rsid w:val="0012204F"/>
    <w:rsid w:val="00124E3C"/>
    <w:rsid w:val="00125D08"/>
    <w:rsid w:val="0012613B"/>
    <w:rsid w:val="001356DA"/>
    <w:rsid w:val="0013615F"/>
    <w:rsid w:val="001364F3"/>
    <w:rsid w:val="00136867"/>
    <w:rsid w:val="00136CBE"/>
    <w:rsid w:val="00136D2F"/>
    <w:rsid w:val="0014041C"/>
    <w:rsid w:val="001413CB"/>
    <w:rsid w:val="00141676"/>
    <w:rsid w:val="00141A8A"/>
    <w:rsid w:val="0014221B"/>
    <w:rsid w:val="00146921"/>
    <w:rsid w:val="00146B99"/>
    <w:rsid w:val="001470EB"/>
    <w:rsid w:val="00147674"/>
    <w:rsid w:val="00147773"/>
    <w:rsid w:val="0015084D"/>
    <w:rsid w:val="00150B2E"/>
    <w:rsid w:val="00150FD8"/>
    <w:rsid w:val="00151708"/>
    <w:rsid w:val="001528C2"/>
    <w:rsid w:val="00152F13"/>
    <w:rsid w:val="001533FA"/>
    <w:rsid w:val="0015452E"/>
    <w:rsid w:val="00155B85"/>
    <w:rsid w:val="00156753"/>
    <w:rsid w:val="00157EC4"/>
    <w:rsid w:val="001607A6"/>
    <w:rsid w:val="00160FB8"/>
    <w:rsid w:val="00163E20"/>
    <w:rsid w:val="00166DE6"/>
    <w:rsid w:val="001673D5"/>
    <w:rsid w:val="00167CA9"/>
    <w:rsid w:val="00170ED8"/>
    <w:rsid w:val="001710FB"/>
    <w:rsid w:val="00171ABF"/>
    <w:rsid w:val="00173985"/>
    <w:rsid w:val="0017677A"/>
    <w:rsid w:val="0017735A"/>
    <w:rsid w:val="001806CE"/>
    <w:rsid w:val="0018272D"/>
    <w:rsid w:val="00183B6C"/>
    <w:rsid w:val="00183F32"/>
    <w:rsid w:val="001840E2"/>
    <w:rsid w:val="00184295"/>
    <w:rsid w:val="001844A7"/>
    <w:rsid w:val="00185467"/>
    <w:rsid w:val="00185901"/>
    <w:rsid w:val="00185A2F"/>
    <w:rsid w:val="00186F69"/>
    <w:rsid w:val="00190121"/>
    <w:rsid w:val="00191AFE"/>
    <w:rsid w:val="00191BE2"/>
    <w:rsid w:val="001922A1"/>
    <w:rsid w:val="00192D7A"/>
    <w:rsid w:val="00194802"/>
    <w:rsid w:val="0019694D"/>
    <w:rsid w:val="0019698F"/>
    <w:rsid w:val="00197781"/>
    <w:rsid w:val="001A3DF8"/>
    <w:rsid w:val="001A3F84"/>
    <w:rsid w:val="001A5DBC"/>
    <w:rsid w:val="001A6C3D"/>
    <w:rsid w:val="001A7BCA"/>
    <w:rsid w:val="001A7CC8"/>
    <w:rsid w:val="001A7FCB"/>
    <w:rsid w:val="001B0136"/>
    <w:rsid w:val="001B23C6"/>
    <w:rsid w:val="001B3122"/>
    <w:rsid w:val="001B34CD"/>
    <w:rsid w:val="001B42F5"/>
    <w:rsid w:val="001B432A"/>
    <w:rsid w:val="001B547E"/>
    <w:rsid w:val="001B6D3C"/>
    <w:rsid w:val="001C1460"/>
    <w:rsid w:val="001C1765"/>
    <w:rsid w:val="001C2F92"/>
    <w:rsid w:val="001C3BBF"/>
    <w:rsid w:val="001C581A"/>
    <w:rsid w:val="001C59CD"/>
    <w:rsid w:val="001C6168"/>
    <w:rsid w:val="001C71F5"/>
    <w:rsid w:val="001C75ED"/>
    <w:rsid w:val="001D1A3D"/>
    <w:rsid w:val="001D1B7D"/>
    <w:rsid w:val="001D2547"/>
    <w:rsid w:val="001D25A7"/>
    <w:rsid w:val="001D3B3D"/>
    <w:rsid w:val="001D3D98"/>
    <w:rsid w:val="001D448A"/>
    <w:rsid w:val="001D46B4"/>
    <w:rsid w:val="001D6E80"/>
    <w:rsid w:val="001D7749"/>
    <w:rsid w:val="001E057B"/>
    <w:rsid w:val="001E0D10"/>
    <w:rsid w:val="001E39BF"/>
    <w:rsid w:val="001E4CE0"/>
    <w:rsid w:val="001E68F8"/>
    <w:rsid w:val="001E7553"/>
    <w:rsid w:val="001E7857"/>
    <w:rsid w:val="001F1DE2"/>
    <w:rsid w:val="001F1E95"/>
    <w:rsid w:val="001F2930"/>
    <w:rsid w:val="001F510A"/>
    <w:rsid w:val="001F56AF"/>
    <w:rsid w:val="001F5A7B"/>
    <w:rsid w:val="001F5C03"/>
    <w:rsid w:val="001F5D6E"/>
    <w:rsid w:val="001F692C"/>
    <w:rsid w:val="001F6BE2"/>
    <w:rsid w:val="00202E61"/>
    <w:rsid w:val="0020402F"/>
    <w:rsid w:val="00204FEB"/>
    <w:rsid w:val="00206264"/>
    <w:rsid w:val="00206ED9"/>
    <w:rsid w:val="002073A9"/>
    <w:rsid w:val="00210185"/>
    <w:rsid w:val="00210347"/>
    <w:rsid w:val="002111A7"/>
    <w:rsid w:val="002111AF"/>
    <w:rsid w:val="00212199"/>
    <w:rsid w:val="0021227A"/>
    <w:rsid w:val="00212AF3"/>
    <w:rsid w:val="00213DC6"/>
    <w:rsid w:val="0021415A"/>
    <w:rsid w:val="00215BF9"/>
    <w:rsid w:val="0021642D"/>
    <w:rsid w:val="00216477"/>
    <w:rsid w:val="00216A47"/>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6C3F"/>
    <w:rsid w:val="002371C7"/>
    <w:rsid w:val="002402C7"/>
    <w:rsid w:val="002409E7"/>
    <w:rsid w:val="002410E0"/>
    <w:rsid w:val="00242AF8"/>
    <w:rsid w:val="00243EB0"/>
    <w:rsid w:val="00244436"/>
    <w:rsid w:val="00247DE7"/>
    <w:rsid w:val="00250F4E"/>
    <w:rsid w:val="00253BBE"/>
    <w:rsid w:val="00253F81"/>
    <w:rsid w:val="002553FE"/>
    <w:rsid w:val="0025578F"/>
    <w:rsid w:val="0025598C"/>
    <w:rsid w:val="002569C2"/>
    <w:rsid w:val="00257013"/>
    <w:rsid w:val="00257C5E"/>
    <w:rsid w:val="002601D6"/>
    <w:rsid w:val="0026546C"/>
    <w:rsid w:val="002657EC"/>
    <w:rsid w:val="0026616E"/>
    <w:rsid w:val="0026651A"/>
    <w:rsid w:val="00266524"/>
    <w:rsid w:val="002672DD"/>
    <w:rsid w:val="00271E3F"/>
    <w:rsid w:val="002724E2"/>
    <w:rsid w:val="00273951"/>
    <w:rsid w:val="00273E43"/>
    <w:rsid w:val="00275C24"/>
    <w:rsid w:val="00276C5C"/>
    <w:rsid w:val="00276F9A"/>
    <w:rsid w:val="00277954"/>
    <w:rsid w:val="00280CB9"/>
    <w:rsid w:val="002815AE"/>
    <w:rsid w:val="00282A6C"/>
    <w:rsid w:val="002835E6"/>
    <w:rsid w:val="00283C38"/>
    <w:rsid w:val="00283FDB"/>
    <w:rsid w:val="0028441A"/>
    <w:rsid w:val="00286AFC"/>
    <w:rsid w:val="00286C23"/>
    <w:rsid w:val="0029044F"/>
    <w:rsid w:val="00293A37"/>
    <w:rsid w:val="0029480E"/>
    <w:rsid w:val="00295182"/>
    <w:rsid w:val="00296244"/>
    <w:rsid w:val="00296BC5"/>
    <w:rsid w:val="002A070E"/>
    <w:rsid w:val="002A1371"/>
    <w:rsid w:val="002A5C9B"/>
    <w:rsid w:val="002B0B2D"/>
    <w:rsid w:val="002B2C3E"/>
    <w:rsid w:val="002B2E83"/>
    <w:rsid w:val="002B4D55"/>
    <w:rsid w:val="002B76FD"/>
    <w:rsid w:val="002B7EC5"/>
    <w:rsid w:val="002C1442"/>
    <w:rsid w:val="002C2AB0"/>
    <w:rsid w:val="002C3B3D"/>
    <w:rsid w:val="002C489F"/>
    <w:rsid w:val="002C627B"/>
    <w:rsid w:val="002C6416"/>
    <w:rsid w:val="002C6FE8"/>
    <w:rsid w:val="002C7E58"/>
    <w:rsid w:val="002D0915"/>
    <w:rsid w:val="002D1C37"/>
    <w:rsid w:val="002D3BDD"/>
    <w:rsid w:val="002D6552"/>
    <w:rsid w:val="002D7348"/>
    <w:rsid w:val="002D7B50"/>
    <w:rsid w:val="002E2DFB"/>
    <w:rsid w:val="002E3FAC"/>
    <w:rsid w:val="002E4B04"/>
    <w:rsid w:val="002E4E36"/>
    <w:rsid w:val="002E57DA"/>
    <w:rsid w:val="002E6EAD"/>
    <w:rsid w:val="002E71C1"/>
    <w:rsid w:val="002F226D"/>
    <w:rsid w:val="002F2337"/>
    <w:rsid w:val="002F3B53"/>
    <w:rsid w:val="002F4D6F"/>
    <w:rsid w:val="002F4DE2"/>
    <w:rsid w:val="002F51E7"/>
    <w:rsid w:val="002F524E"/>
    <w:rsid w:val="002F5547"/>
    <w:rsid w:val="002F5DFF"/>
    <w:rsid w:val="002F6C6A"/>
    <w:rsid w:val="002F72C2"/>
    <w:rsid w:val="0030116D"/>
    <w:rsid w:val="003011E2"/>
    <w:rsid w:val="00301BE2"/>
    <w:rsid w:val="0030312E"/>
    <w:rsid w:val="00307E62"/>
    <w:rsid w:val="003115B0"/>
    <w:rsid w:val="0031217F"/>
    <w:rsid w:val="00312D18"/>
    <w:rsid w:val="00313C58"/>
    <w:rsid w:val="00314A6C"/>
    <w:rsid w:val="00315A2D"/>
    <w:rsid w:val="00316D91"/>
    <w:rsid w:val="00317E2B"/>
    <w:rsid w:val="00323CBD"/>
    <w:rsid w:val="00323E54"/>
    <w:rsid w:val="00324775"/>
    <w:rsid w:val="00325508"/>
    <w:rsid w:val="0032583F"/>
    <w:rsid w:val="00332C67"/>
    <w:rsid w:val="003343A1"/>
    <w:rsid w:val="0033477C"/>
    <w:rsid w:val="00337209"/>
    <w:rsid w:val="00340D8D"/>
    <w:rsid w:val="00341069"/>
    <w:rsid w:val="00341150"/>
    <w:rsid w:val="00341237"/>
    <w:rsid w:val="003413AF"/>
    <w:rsid w:val="00341C1E"/>
    <w:rsid w:val="00341FF5"/>
    <w:rsid w:val="003430A9"/>
    <w:rsid w:val="003430FA"/>
    <w:rsid w:val="003437AC"/>
    <w:rsid w:val="0034670D"/>
    <w:rsid w:val="0034677D"/>
    <w:rsid w:val="00351B7F"/>
    <w:rsid w:val="00351E64"/>
    <w:rsid w:val="00352153"/>
    <w:rsid w:val="00352803"/>
    <w:rsid w:val="00352EDD"/>
    <w:rsid w:val="00352F8C"/>
    <w:rsid w:val="0035385F"/>
    <w:rsid w:val="003545DE"/>
    <w:rsid w:val="00354964"/>
    <w:rsid w:val="00354C7F"/>
    <w:rsid w:val="00357CB9"/>
    <w:rsid w:val="00357E7F"/>
    <w:rsid w:val="003607BC"/>
    <w:rsid w:val="00360BD2"/>
    <w:rsid w:val="00360CA7"/>
    <w:rsid w:val="00360CDC"/>
    <w:rsid w:val="00361876"/>
    <w:rsid w:val="00361B12"/>
    <w:rsid w:val="00362613"/>
    <w:rsid w:val="00363203"/>
    <w:rsid w:val="00364A1D"/>
    <w:rsid w:val="00366219"/>
    <w:rsid w:val="0036686F"/>
    <w:rsid w:val="003676B8"/>
    <w:rsid w:val="00370677"/>
    <w:rsid w:val="00371B40"/>
    <w:rsid w:val="0037201C"/>
    <w:rsid w:val="0037322A"/>
    <w:rsid w:val="00373FCC"/>
    <w:rsid w:val="00374241"/>
    <w:rsid w:val="00374928"/>
    <w:rsid w:val="003760F1"/>
    <w:rsid w:val="003776EE"/>
    <w:rsid w:val="00377871"/>
    <w:rsid w:val="00377EBE"/>
    <w:rsid w:val="00377FCB"/>
    <w:rsid w:val="00380E8E"/>
    <w:rsid w:val="00381A8F"/>
    <w:rsid w:val="00383391"/>
    <w:rsid w:val="003849A9"/>
    <w:rsid w:val="00385791"/>
    <w:rsid w:val="00390472"/>
    <w:rsid w:val="003907D8"/>
    <w:rsid w:val="003910E7"/>
    <w:rsid w:val="0039364C"/>
    <w:rsid w:val="00393650"/>
    <w:rsid w:val="003942D5"/>
    <w:rsid w:val="00394603"/>
    <w:rsid w:val="00394A13"/>
    <w:rsid w:val="003950CB"/>
    <w:rsid w:val="00396213"/>
    <w:rsid w:val="003972DE"/>
    <w:rsid w:val="00397648"/>
    <w:rsid w:val="00397769"/>
    <w:rsid w:val="003A0CA4"/>
    <w:rsid w:val="003A2429"/>
    <w:rsid w:val="003A261A"/>
    <w:rsid w:val="003A285F"/>
    <w:rsid w:val="003A2B57"/>
    <w:rsid w:val="003A3B69"/>
    <w:rsid w:val="003A3D69"/>
    <w:rsid w:val="003A495F"/>
    <w:rsid w:val="003A63A1"/>
    <w:rsid w:val="003B0412"/>
    <w:rsid w:val="003B1D1D"/>
    <w:rsid w:val="003B2F95"/>
    <w:rsid w:val="003B74FC"/>
    <w:rsid w:val="003B7510"/>
    <w:rsid w:val="003C0454"/>
    <w:rsid w:val="003C0BCC"/>
    <w:rsid w:val="003C1091"/>
    <w:rsid w:val="003C371B"/>
    <w:rsid w:val="003C3BAB"/>
    <w:rsid w:val="003C4023"/>
    <w:rsid w:val="003C53D5"/>
    <w:rsid w:val="003C55AA"/>
    <w:rsid w:val="003C7750"/>
    <w:rsid w:val="003D0C70"/>
    <w:rsid w:val="003D20A8"/>
    <w:rsid w:val="003D3681"/>
    <w:rsid w:val="003D3E3C"/>
    <w:rsid w:val="003D3F94"/>
    <w:rsid w:val="003D5CB2"/>
    <w:rsid w:val="003D62EA"/>
    <w:rsid w:val="003D663A"/>
    <w:rsid w:val="003D78FE"/>
    <w:rsid w:val="003E02F2"/>
    <w:rsid w:val="003E08BC"/>
    <w:rsid w:val="003E34A0"/>
    <w:rsid w:val="003E43B8"/>
    <w:rsid w:val="003E5706"/>
    <w:rsid w:val="003F0779"/>
    <w:rsid w:val="003F0EB6"/>
    <w:rsid w:val="003F18A8"/>
    <w:rsid w:val="003F1A56"/>
    <w:rsid w:val="003F2499"/>
    <w:rsid w:val="003F25E2"/>
    <w:rsid w:val="003F336D"/>
    <w:rsid w:val="003F338C"/>
    <w:rsid w:val="003F3F84"/>
    <w:rsid w:val="003F4562"/>
    <w:rsid w:val="003F6EBA"/>
    <w:rsid w:val="00400BF0"/>
    <w:rsid w:val="00400EAB"/>
    <w:rsid w:val="00400FD7"/>
    <w:rsid w:val="00401655"/>
    <w:rsid w:val="00401C2F"/>
    <w:rsid w:val="00402486"/>
    <w:rsid w:val="00403E4D"/>
    <w:rsid w:val="00407A9C"/>
    <w:rsid w:val="004105CB"/>
    <w:rsid w:val="00412258"/>
    <w:rsid w:val="00412321"/>
    <w:rsid w:val="00412BF8"/>
    <w:rsid w:val="00413274"/>
    <w:rsid w:val="00414C95"/>
    <w:rsid w:val="0041569E"/>
    <w:rsid w:val="00416214"/>
    <w:rsid w:val="00416279"/>
    <w:rsid w:val="0041677E"/>
    <w:rsid w:val="00416FC6"/>
    <w:rsid w:val="0041742C"/>
    <w:rsid w:val="00417B72"/>
    <w:rsid w:val="00417D3F"/>
    <w:rsid w:val="00420946"/>
    <w:rsid w:val="00420FE6"/>
    <w:rsid w:val="004212BB"/>
    <w:rsid w:val="00422EAC"/>
    <w:rsid w:val="0042326E"/>
    <w:rsid w:val="00424784"/>
    <w:rsid w:val="00424CEA"/>
    <w:rsid w:val="00426993"/>
    <w:rsid w:val="00427453"/>
    <w:rsid w:val="00427880"/>
    <w:rsid w:val="004329F8"/>
    <w:rsid w:val="0043362A"/>
    <w:rsid w:val="00434162"/>
    <w:rsid w:val="00434777"/>
    <w:rsid w:val="00434E03"/>
    <w:rsid w:val="004355BC"/>
    <w:rsid w:val="00436CB8"/>
    <w:rsid w:val="004375B5"/>
    <w:rsid w:val="00440256"/>
    <w:rsid w:val="004410FF"/>
    <w:rsid w:val="00442588"/>
    <w:rsid w:val="00443A42"/>
    <w:rsid w:val="00443C34"/>
    <w:rsid w:val="00445EB4"/>
    <w:rsid w:val="004476D1"/>
    <w:rsid w:val="004501A2"/>
    <w:rsid w:val="00450E4B"/>
    <w:rsid w:val="00450FEF"/>
    <w:rsid w:val="00460DA6"/>
    <w:rsid w:val="00463650"/>
    <w:rsid w:val="0046366F"/>
    <w:rsid w:val="0046620E"/>
    <w:rsid w:val="0046661E"/>
    <w:rsid w:val="00470039"/>
    <w:rsid w:val="004700E2"/>
    <w:rsid w:val="00470127"/>
    <w:rsid w:val="004712E0"/>
    <w:rsid w:val="0047250B"/>
    <w:rsid w:val="00473204"/>
    <w:rsid w:val="004734EA"/>
    <w:rsid w:val="00473B96"/>
    <w:rsid w:val="00474CA2"/>
    <w:rsid w:val="00474D1E"/>
    <w:rsid w:val="00474DB1"/>
    <w:rsid w:val="00480618"/>
    <w:rsid w:val="00481E0B"/>
    <w:rsid w:val="00482794"/>
    <w:rsid w:val="004862CD"/>
    <w:rsid w:val="004901A2"/>
    <w:rsid w:val="004912CA"/>
    <w:rsid w:val="0049260D"/>
    <w:rsid w:val="00492FDE"/>
    <w:rsid w:val="0049485F"/>
    <w:rsid w:val="004960A1"/>
    <w:rsid w:val="004A5497"/>
    <w:rsid w:val="004A6ADD"/>
    <w:rsid w:val="004B0641"/>
    <w:rsid w:val="004B0AB2"/>
    <w:rsid w:val="004B1012"/>
    <w:rsid w:val="004B1B93"/>
    <w:rsid w:val="004B2495"/>
    <w:rsid w:val="004B323C"/>
    <w:rsid w:val="004B3386"/>
    <w:rsid w:val="004B3D48"/>
    <w:rsid w:val="004B40D5"/>
    <w:rsid w:val="004B44B9"/>
    <w:rsid w:val="004B55D8"/>
    <w:rsid w:val="004B6243"/>
    <w:rsid w:val="004B638F"/>
    <w:rsid w:val="004C02CA"/>
    <w:rsid w:val="004C5535"/>
    <w:rsid w:val="004C7377"/>
    <w:rsid w:val="004C78BA"/>
    <w:rsid w:val="004C78EF"/>
    <w:rsid w:val="004D0133"/>
    <w:rsid w:val="004D124C"/>
    <w:rsid w:val="004D3875"/>
    <w:rsid w:val="004D5C02"/>
    <w:rsid w:val="004D6201"/>
    <w:rsid w:val="004D6D0D"/>
    <w:rsid w:val="004D7453"/>
    <w:rsid w:val="004D7708"/>
    <w:rsid w:val="004D7F0E"/>
    <w:rsid w:val="004D7F1F"/>
    <w:rsid w:val="004E0B99"/>
    <w:rsid w:val="004E23FA"/>
    <w:rsid w:val="004E245C"/>
    <w:rsid w:val="004E308E"/>
    <w:rsid w:val="004E3D4B"/>
    <w:rsid w:val="004E4D2F"/>
    <w:rsid w:val="004E4E27"/>
    <w:rsid w:val="004E4F86"/>
    <w:rsid w:val="004E7CE1"/>
    <w:rsid w:val="004F0D77"/>
    <w:rsid w:val="004F19C8"/>
    <w:rsid w:val="004F3147"/>
    <w:rsid w:val="004F4438"/>
    <w:rsid w:val="004F5236"/>
    <w:rsid w:val="004F5ADE"/>
    <w:rsid w:val="004F60AF"/>
    <w:rsid w:val="004F6886"/>
    <w:rsid w:val="005003F6"/>
    <w:rsid w:val="00501769"/>
    <w:rsid w:val="0050225B"/>
    <w:rsid w:val="00503BFD"/>
    <w:rsid w:val="00504115"/>
    <w:rsid w:val="005068DB"/>
    <w:rsid w:val="00507648"/>
    <w:rsid w:val="00510A85"/>
    <w:rsid w:val="00510B97"/>
    <w:rsid w:val="00513633"/>
    <w:rsid w:val="00513848"/>
    <w:rsid w:val="00515942"/>
    <w:rsid w:val="00516E09"/>
    <w:rsid w:val="00517462"/>
    <w:rsid w:val="005225AC"/>
    <w:rsid w:val="00524CF0"/>
    <w:rsid w:val="005258C6"/>
    <w:rsid w:val="00525DF9"/>
    <w:rsid w:val="00525F82"/>
    <w:rsid w:val="0052688A"/>
    <w:rsid w:val="00527978"/>
    <w:rsid w:val="005303ED"/>
    <w:rsid w:val="00534C1A"/>
    <w:rsid w:val="00536E84"/>
    <w:rsid w:val="00537021"/>
    <w:rsid w:val="00540B52"/>
    <w:rsid w:val="0054311A"/>
    <w:rsid w:val="00545C6C"/>
    <w:rsid w:val="0055001C"/>
    <w:rsid w:val="00551756"/>
    <w:rsid w:val="00551BED"/>
    <w:rsid w:val="0055298D"/>
    <w:rsid w:val="00552DF6"/>
    <w:rsid w:val="005537BB"/>
    <w:rsid w:val="005543B1"/>
    <w:rsid w:val="00554DEF"/>
    <w:rsid w:val="00555690"/>
    <w:rsid w:val="0055623E"/>
    <w:rsid w:val="00556355"/>
    <w:rsid w:val="0055790E"/>
    <w:rsid w:val="005607CE"/>
    <w:rsid w:val="00561B1C"/>
    <w:rsid w:val="00562A94"/>
    <w:rsid w:val="00563F25"/>
    <w:rsid w:val="0056485F"/>
    <w:rsid w:val="00564CB7"/>
    <w:rsid w:val="00564CFE"/>
    <w:rsid w:val="00565BDE"/>
    <w:rsid w:val="0056607C"/>
    <w:rsid w:val="00567FD4"/>
    <w:rsid w:val="00570D1B"/>
    <w:rsid w:val="0057277A"/>
    <w:rsid w:val="00573450"/>
    <w:rsid w:val="00573D10"/>
    <w:rsid w:val="00573FE7"/>
    <w:rsid w:val="00574450"/>
    <w:rsid w:val="005764EF"/>
    <w:rsid w:val="0057678E"/>
    <w:rsid w:val="0057736C"/>
    <w:rsid w:val="005779CE"/>
    <w:rsid w:val="00577D6D"/>
    <w:rsid w:val="00581ED8"/>
    <w:rsid w:val="005825F2"/>
    <w:rsid w:val="00583241"/>
    <w:rsid w:val="005835D3"/>
    <w:rsid w:val="00583601"/>
    <w:rsid w:val="00583C51"/>
    <w:rsid w:val="00583DC3"/>
    <w:rsid w:val="00584401"/>
    <w:rsid w:val="0058592F"/>
    <w:rsid w:val="00585B33"/>
    <w:rsid w:val="00586607"/>
    <w:rsid w:val="00587121"/>
    <w:rsid w:val="005875C0"/>
    <w:rsid w:val="0059145F"/>
    <w:rsid w:val="00591D7D"/>
    <w:rsid w:val="00595B0A"/>
    <w:rsid w:val="00597ADB"/>
    <w:rsid w:val="005A134E"/>
    <w:rsid w:val="005A1E6B"/>
    <w:rsid w:val="005A25C4"/>
    <w:rsid w:val="005A6EF4"/>
    <w:rsid w:val="005A6F69"/>
    <w:rsid w:val="005A736A"/>
    <w:rsid w:val="005B0B66"/>
    <w:rsid w:val="005B187C"/>
    <w:rsid w:val="005B2AA8"/>
    <w:rsid w:val="005B3BA7"/>
    <w:rsid w:val="005B4B94"/>
    <w:rsid w:val="005B55C4"/>
    <w:rsid w:val="005B6C78"/>
    <w:rsid w:val="005B6FC3"/>
    <w:rsid w:val="005B77DE"/>
    <w:rsid w:val="005C08CB"/>
    <w:rsid w:val="005C25AF"/>
    <w:rsid w:val="005C2816"/>
    <w:rsid w:val="005C552D"/>
    <w:rsid w:val="005C609E"/>
    <w:rsid w:val="005C7636"/>
    <w:rsid w:val="005D0277"/>
    <w:rsid w:val="005D2881"/>
    <w:rsid w:val="005D3D44"/>
    <w:rsid w:val="005D434C"/>
    <w:rsid w:val="005D5A09"/>
    <w:rsid w:val="005D5E67"/>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10325"/>
    <w:rsid w:val="00610A59"/>
    <w:rsid w:val="006118C7"/>
    <w:rsid w:val="00613774"/>
    <w:rsid w:val="00614202"/>
    <w:rsid w:val="00615C87"/>
    <w:rsid w:val="0061749F"/>
    <w:rsid w:val="0062038D"/>
    <w:rsid w:val="006209AA"/>
    <w:rsid w:val="006224F2"/>
    <w:rsid w:val="006228D3"/>
    <w:rsid w:val="0062300D"/>
    <w:rsid w:val="00626117"/>
    <w:rsid w:val="006276B0"/>
    <w:rsid w:val="00627B4F"/>
    <w:rsid w:val="00627BBE"/>
    <w:rsid w:val="006309F6"/>
    <w:rsid w:val="0063102B"/>
    <w:rsid w:val="00631367"/>
    <w:rsid w:val="00631BC9"/>
    <w:rsid w:val="006326A6"/>
    <w:rsid w:val="0063279B"/>
    <w:rsid w:val="00635649"/>
    <w:rsid w:val="00635E98"/>
    <w:rsid w:val="00636FED"/>
    <w:rsid w:val="00640302"/>
    <w:rsid w:val="0064103B"/>
    <w:rsid w:val="00641FC6"/>
    <w:rsid w:val="00642835"/>
    <w:rsid w:val="00643A29"/>
    <w:rsid w:val="0064401A"/>
    <w:rsid w:val="00645BBA"/>
    <w:rsid w:val="00646230"/>
    <w:rsid w:val="00650C9A"/>
    <w:rsid w:val="00652425"/>
    <w:rsid w:val="0065272B"/>
    <w:rsid w:val="0065282E"/>
    <w:rsid w:val="00653413"/>
    <w:rsid w:val="006547C8"/>
    <w:rsid w:val="00654836"/>
    <w:rsid w:val="00655A5E"/>
    <w:rsid w:val="00655E60"/>
    <w:rsid w:val="00656165"/>
    <w:rsid w:val="00656DA1"/>
    <w:rsid w:val="00656E50"/>
    <w:rsid w:val="00657404"/>
    <w:rsid w:val="00660322"/>
    <w:rsid w:val="00660DA1"/>
    <w:rsid w:val="00661DB7"/>
    <w:rsid w:val="00662194"/>
    <w:rsid w:val="00663D99"/>
    <w:rsid w:val="006645F4"/>
    <w:rsid w:val="00665AE7"/>
    <w:rsid w:val="00665B6B"/>
    <w:rsid w:val="00666973"/>
    <w:rsid w:val="006673C7"/>
    <w:rsid w:val="006719CA"/>
    <w:rsid w:val="006723B9"/>
    <w:rsid w:val="00673666"/>
    <w:rsid w:val="006737D9"/>
    <w:rsid w:val="006744DB"/>
    <w:rsid w:val="00674533"/>
    <w:rsid w:val="006754D7"/>
    <w:rsid w:val="006761AF"/>
    <w:rsid w:val="0067658A"/>
    <w:rsid w:val="006772CD"/>
    <w:rsid w:val="00680B9B"/>
    <w:rsid w:val="0068347C"/>
    <w:rsid w:val="00683CCD"/>
    <w:rsid w:val="0068701A"/>
    <w:rsid w:val="00687BCB"/>
    <w:rsid w:val="006916C8"/>
    <w:rsid w:val="00691BAB"/>
    <w:rsid w:val="006936FF"/>
    <w:rsid w:val="006938E4"/>
    <w:rsid w:val="00694CF5"/>
    <w:rsid w:val="00696B9B"/>
    <w:rsid w:val="00696ECE"/>
    <w:rsid w:val="00697CAA"/>
    <w:rsid w:val="006A0C21"/>
    <w:rsid w:val="006A0F8A"/>
    <w:rsid w:val="006A1496"/>
    <w:rsid w:val="006A22A6"/>
    <w:rsid w:val="006A51DA"/>
    <w:rsid w:val="006A623F"/>
    <w:rsid w:val="006A6956"/>
    <w:rsid w:val="006B0094"/>
    <w:rsid w:val="006B02FF"/>
    <w:rsid w:val="006B10D6"/>
    <w:rsid w:val="006B28E3"/>
    <w:rsid w:val="006B430A"/>
    <w:rsid w:val="006B457F"/>
    <w:rsid w:val="006B78DC"/>
    <w:rsid w:val="006C0843"/>
    <w:rsid w:val="006C1381"/>
    <w:rsid w:val="006C14BD"/>
    <w:rsid w:val="006C1973"/>
    <w:rsid w:val="006C1F9B"/>
    <w:rsid w:val="006C4301"/>
    <w:rsid w:val="006C59DB"/>
    <w:rsid w:val="006C7DD7"/>
    <w:rsid w:val="006D0DB7"/>
    <w:rsid w:val="006D2D7E"/>
    <w:rsid w:val="006D4174"/>
    <w:rsid w:val="006D41C4"/>
    <w:rsid w:val="006D6660"/>
    <w:rsid w:val="006D6AD9"/>
    <w:rsid w:val="006D708E"/>
    <w:rsid w:val="006D73CD"/>
    <w:rsid w:val="006E1E32"/>
    <w:rsid w:val="006E1E78"/>
    <w:rsid w:val="006E3986"/>
    <w:rsid w:val="006E3AE3"/>
    <w:rsid w:val="006E486B"/>
    <w:rsid w:val="006E4FF7"/>
    <w:rsid w:val="006E51F2"/>
    <w:rsid w:val="006E5719"/>
    <w:rsid w:val="006E5AD3"/>
    <w:rsid w:val="006E7E1E"/>
    <w:rsid w:val="006E7F7D"/>
    <w:rsid w:val="006F0750"/>
    <w:rsid w:val="006F0A7C"/>
    <w:rsid w:val="006F2161"/>
    <w:rsid w:val="006F283A"/>
    <w:rsid w:val="006F3ECC"/>
    <w:rsid w:val="006F6582"/>
    <w:rsid w:val="006F6E85"/>
    <w:rsid w:val="00702A01"/>
    <w:rsid w:val="007033BF"/>
    <w:rsid w:val="00704460"/>
    <w:rsid w:val="00710E74"/>
    <w:rsid w:val="0071206F"/>
    <w:rsid w:val="007125D5"/>
    <w:rsid w:val="00712A6D"/>
    <w:rsid w:val="007142FB"/>
    <w:rsid w:val="00714551"/>
    <w:rsid w:val="00714850"/>
    <w:rsid w:val="00714AEF"/>
    <w:rsid w:val="00717395"/>
    <w:rsid w:val="00717E8B"/>
    <w:rsid w:val="00720948"/>
    <w:rsid w:val="00721271"/>
    <w:rsid w:val="00721655"/>
    <w:rsid w:val="00721AF9"/>
    <w:rsid w:val="00721E42"/>
    <w:rsid w:val="00724162"/>
    <w:rsid w:val="007244F9"/>
    <w:rsid w:val="00724717"/>
    <w:rsid w:val="007256E3"/>
    <w:rsid w:val="00726357"/>
    <w:rsid w:val="00726DDC"/>
    <w:rsid w:val="00727186"/>
    <w:rsid w:val="007307A7"/>
    <w:rsid w:val="0073093F"/>
    <w:rsid w:val="00730D0E"/>
    <w:rsid w:val="007343F4"/>
    <w:rsid w:val="007347DB"/>
    <w:rsid w:val="00734A53"/>
    <w:rsid w:val="007352E0"/>
    <w:rsid w:val="00735A2B"/>
    <w:rsid w:val="00735DFA"/>
    <w:rsid w:val="00737669"/>
    <w:rsid w:val="00740933"/>
    <w:rsid w:val="007419F5"/>
    <w:rsid w:val="00741B5A"/>
    <w:rsid w:val="00744D93"/>
    <w:rsid w:val="00745838"/>
    <w:rsid w:val="007471C5"/>
    <w:rsid w:val="00747E8D"/>
    <w:rsid w:val="0075094F"/>
    <w:rsid w:val="0075173F"/>
    <w:rsid w:val="00751B84"/>
    <w:rsid w:val="00752EC4"/>
    <w:rsid w:val="007539C5"/>
    <w:rsid w:val="00754BFE"/>
    <w:rsid w:val="00755149"/>
    <w:rsid w:val="00756AD3"/>
    <w:rsid w:val="00757352"/>
    <w:rsid w:val="0076044E"/>
    <w:rsid w:val="00762B74"/>
    <w:rsid w:val="00762D73"/>
    <w:rsid w:val="007631FD"/>
    <w:rsid w:val="0076575D"/>
    <w:rsid w:val="00765B40"/>
    <w:rsid w:val="00766FCF"/>
    <w:rsid w:val="007710BF"/>
    <w:rsid w:val="007729E2"/>
    <w:rsid w:val="00780412"/>
    <w:rsid w:val="00780C78"/>
    <w:rsid w:val="0078185D"/>
    <w:rsid w:val="00785C33"/>
    <w:rsid w:val="00785E3B"/>
    <w:rsid w:val="007878AC"/>
    <w:rsid w:val="0079034D"/>
    <w:rsid w:val="00790BA0"/>
    <w:rsid w:val="00790C39"/>
    <w:rsid w:val="007916A3"/>
    <w:rsid w:val="00791E9C"/>
    <w:rsid w:val="00792E23"/>
    <w:rsid w:val="00793261"/>
    <w:rsid w:val="00794BA4"/>
    <w:rsid w:val="007954E8"/>
    <w:rsid w:val="00795ED6"/>
    <w:rsid w:val="00796B62"/>
    <w:rsid w:val="00796DF3"/>
    <w:rsid w:val="007A03B9"/>
    <w:rsid w:val="007A1263"/>
    <w:rsid w:val="007A1581"/>
    <w:rsid w:val="007A3A1E"/>
    <w:rsid w:val="007A4ECA"/>
    <w:rsid w:val="007A726C"/>
    <w:rsid w:val="007B067F"/>
    <w:rsid w:val="007B21F0"/>
    <w:rsid w:val="007B27D6"/>
    <w:rsid w:val="007B3144"/>
    <w:rsid w:val="007B5531"/>
    <w:rsid w:val="007B5CAD"/>
    <w:rsid w:val="007B6666"/>
    <w:rsid w:val="007C34CE"/>
    <w:rsid w:val="007C3504"/>
    <w:rsid w:val="007C4D6D"/>
    <w:rsid w:val="007C5987"/>
    <w:rsid w:val="007C613C"/>
    <w:rsid w:val="007C6A8F"/>
    <w:rsid w:val="007D0665"/>
    <w:rsid w:val="007D17ED"/>
    <w:rsid w:val="007D23B4"/>
    <w:rsid w:val="007D3D72"/>
    <w:rsid w:val="007D4370"/>
    <w:rsid w:val="007D612F"/>
    <w:rsid w:val="007D6674"/>
    <w:rsid w:val="007D7CC4"/>
    <w:rsid w:val="007E1F3F"/>
    <w:rsid w:val="007E3037"/>
    <w:rsid w:val="007E3174"/>
    <w:rsid w:val="007E3189"/>
    <w:rsid w:val="007E357D"/>
    <w:rsid w:val="007E3699"/>
    <w:rsid w:val="007E40AB"/>
    <w:rsid w:val="007F095C"/>
    <w:rsid w:val="007F1D2C"/>
    <w:rsid w:val="007F2DA4"/>
    <w:rsid w:val="007F3AE5"/>
    <w:rsid w:val="007F504F"/>
    <w:rsid w:val="007F7680"/>
    <w:rsid w:val="007F7CD7"/>
    <w:rsid w:val="0080109F"/>
    <w:rsid w:val="00802D73"/>
    <w:rsid w:val="008030C4"/>
    <w:rsid w:val="00803948"/>
    <w:rsid w:val="008050EE"/>
    <w:rsid w:val="00805393"/>
    <w:rsid w:val="00805E20"/>
    <w:rsid w:val="00805F30"/>
    <w:rsid w:val="0080792E"/>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4BA0"/>
    <w:rsid w:val="00824C2B"/>
    <w:rsid w:val="00826001"/>
    <w:rsid w:val="008271FE"/>
    <w:rsid w:val="00827D4E"/>
    <w:rsid w:val="00827D90"/>
    <w:rsid w:val="00827DA9"/>
    <w:rsid w:val="008300FB"/>
    <w:rsid w:val="00830114"/>
    <w:rsid w:val="008302F1"/>
    <w:rsid w:val="00831D08"/>
    <w:rsid w:val="00831F94"/>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2402"/>
    <w:rsid w:val="008451EF"/>
    <w:rsid w:val="0085217B"/>
    <w:rsid w:val="00852287"/>
    <w:rsid w:val="00854872"/>
    <w:rsid w:val="00856315"/>
    <w:rsid w:val="00856671"/>
    <w:rsid w:val="008568A4"/>
    <w:rsid w:val="00857D96"/>
    <w:rsid w:val="00861337"/>
    <w:rsid w:val="008617D4"/>
    <w:rsid w:val="00862132"/>
    <w:rsid w:val="0086290E"/>
    <w:rsid w:val="00863231"/>
    <w:rsid w:val="00863D26"/>
    <w:rsid w:val="008640FC"/>
    <w:rsid w:val="008658F5"/>
    <w:rsid w:val="00865BC5"/>
    <w:rsid w:val="008678C1"/>
    <w:rsid w:val="00871591"/>
    <w:rsid w:val="008742F1"/>
    <w:rsid w:val="0087501C"/>
    <w:rsid w:val="00876892"/>
    <w:rsid w:val="00876F6C"/>
    <w:rsid w:val="00877688"/>
    <w:rsid w:val="00880AF2"/>
    <w:rsid w:val="00880F7D"/>
    <w:rsid w:val="00881055"/>
    <w:rsid w:val="00882B5E"/>
    <w:rsid w:val="00882F7C"/>
    <w:rsid w:val="00885C2A"/>
    <w:rsid w:val="00891152"/>
    <w:rsid w:val="00892A2E"/>
    <w:rsid w:val="00892E4C"/>
    <w:rsid w:val="00893B6D"/>
    <w:rsid w:val="00894736"/>
    <w:rsid w:val="00895577"/>
    <w:rsid w:val="00896600"/>
    <w:rsid w:val="008978E3"/>
    <w:rsid w:val="008A05DC"/>
    <w:rsid w:val="008A064E"/>
    <w:rsid w:val="008A0BB1"/>
    <w:rsid w:val="008A0FEB"/>
    <w:rsid w:val="008A51C2"/>
    <w:rsid w:val="008B0571"/>
    <w:rsid w:val="008B13B1"/>
    <w:rsid w:val="008B2159"/>
    <w:rsid w:val="008B2176"/>
    <w:rsid w:val="008B2615"/>
    <w:rsid w:val="008B4325"/>
    <w:rsid w:val="008B6125"/>
    <w:rsid w:val="008B6792"/>
    <w:rsid w:val="008B7A58"/>
    <w:rsid w:val="008B7CAE"/>
    <w:rsid w:val="008C1173"/>
    <w:rsid w:val="008C1FB6"/>
    <w:rsid w:val="008C24DD"/>
    <w:rsid w:val="008C349A"/>
    <w:rsid w:val="008C38C4"/>
    <w:rsid w:val="008C4B70"/>
    <w:rsid w:val="008C5413"/>
    <w:rsid w:val="008C5B23"/>
    <w:rsid w:val="008C5C97"/>
    <w:rsid w:val="008C5F28"/>
    <w:rsid w:val="008C62BE"/>
    <w:rsid w:val="008C6BC6"/>
    <w:rsid w:val="008C722F"/>
    <w:rsid w:val="008D05F7"/>
    <w:rsid w:val="008D232D"/>
    <w:rsid w:val="008D474E"/>
    <w:rsid w:val="008D5764"/>
    <w:rsid w:val="008D5BDC"/>
    <w:rsid w:val="008D77BD"/>
    <w:rsid w:val="008E1639"/>
    <w:rsid w:val="008E243B"/>
    <w:rsid w:val="008E3922"/>
    <w:rsid w:val="008E4117"/>
    <w:rsid w:val="008E43E0"/>
    <w:rsid w:val="008E47E4"/>
    <w:rsid w:val="008E4E46"/>
    <w:rsid w:val="008E510B"/>
    <w:rsid w:val="008E5DC2"/>
    <w:rsid w:val="008E7477"/>
    <w:rsid w:val="008E7611"/>
    <w:rsid w:val="008F0225"/>
    <w:rsid w:val="008F27D4"/>
    <w:rsid w:val="008F3D31"/>
    <w:rsid w:val="008F5617"/>
    <w:rsid w:val="00900516"/>
    <w:rsid w:val="00901330"/>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CCF"/>
    <w:rsid w:val="00945096"/>
    <w:rsid w:val="00950BC9"/>
    <w:rsid w:val="0095220B"/>
    <w:rsid w:val="00952672"/>
    <w:rsid w:val="00953257"/>
    <w:rsid w:val="00953EA5"/>
    <w:rsid w:val="0095489C"/>
    <w:rsid w:val="00955ABF"/>
    <w:rsid w:val="00955BB3"/>
    <w:rsid w:val="00956FE4"/>
    <w:rsid w:val="00960BAA"/>
    <w:rsid w:val="00960DD9"/>
    <w:rsid w:val="00960ECF"/>
    <w:rsid w:val="00961890"/>
    <w:rsid w:val="009621B7"/>
    <w:rsid w:val="00965453"/>
    <w:rsid w:val="00966590"/>
    <w:rsid w:val="0097236D"/>
    <w:rsid w:val="009723EA"/>
    <w:rsid w:val="009728B9"/>
    <w:rsid w:val="00974494"/>
    <w:rsid w:val="00975F1F"/>
    <w:rsid w:val="0097660C"/>
    <w:rsid w:val="009771D7"/>
    <w:rsid w:val="00977615"/>
    <w:rsid w:val="0098077C"/>
    <w:rsid w:val="00980DF9"/>
    <w:rsid w:val="009812DF"/>
    <w:rsid w:val="009830B8"/>
    <w:rsid w:val="00983F47"/>
    <w:rsid w:val="009840BE"/>
    <w:rsid w:val="00984F6F"/>
    <w:rsid w:val="0098585B"/>
    <w:rsid w:val="00991168"/>
    <w:rsid w:val="00991D05"/>
    <w:rsid w:val="00992817"/>
    <w:rsid w:val="00992949"/>
    <w:rsid w:val="0099733C"/>
    <w:rsid w:val="00997990"/>
    <w:rsid w:val="009A03B2"/>
    <w:rsid w:val="009A04DD"/>
    <w:rsid w:val="009A117C"/>
    <w:rsid w:val="009A1D40"/>
    <w:rsid w:val="009A2D35"/>
    <w:rsid w:val="009A4A74"/>
    <w:rsid w:val="009A4CA1"/>
    <w:rsid w:val="009A681F"/>
    <w:rsid w:val="009B031E"/>
    <w:rsid w:val="009B240A"/>
    <w:rsid w:val="009B2543"/>
    <w:rsid w:val="009B410E"/>
    <w:rsid w:val="009B4EFB"/>
    <w:rsid w:val="009B4F8E"/>
    <w:rsid w:val="009B5FF3"/>
    <w:rsid w:val="009C033C"/>
    <w:rsid w:val="009C0823"/>
    <w:rsid w:val="009C1A94"/>
    <w:rsid w:val="009C33DA"/>
    <w:rsid w:val="009C39EF"/>
    <w:rsid w:val="009C3C14"/>
    <w:rsid w:val="009C4F41"/>
    <w:rsid w:val="009C551A"/>
    <w:rsid w:val="009D1690"/>
    <w:rsid w:val="009D238B"/>
    <w:rsid w:val="009D3296"/>
    <w:rsid w:val="009D4185"/>
    <w:rsid w:val="009D4217"/>
    <w:rsid w:val="009D4631"/>
    <w:rsid w:val="009D6FDD"/>
    <w:rsid w:val="009D7E63"/>
    <w:rsid w:val="009D7FF4"/>
    <w:rsid w:val="009E2232"/>
    <w:rsid w:val="009E3452"/>
    <w:rsid w:val="009E3DED"/>
    <w:rsid w:val="009E467C"/>
    <w:rsid w:val="009E5333"/>
    <w:rsid w:val="009E6A81"/>
    <w:rsid w:val="009F10B6"/>
    <w:rsid w:val="009F2632"/>
    <w:rsid w:val="009F291B"/>
    <w:rsid w:val="009F2A83"/>
    <w:rsid w:val="009F3796"/>
    <w:rsid w:val="009F623E"/>
    <w:rsid w:val="00A00537"/>
    <w:rsid w:val="00A01AB7"/>
    <w:rsid w:val="00A01BEF"/>
    <w:rsid w:val="00A04358"/>
    <w:rsid w:val="00A05895"/>
    <w:rsid w:val="00A05AA1"/>
    <w:rsid w:val="00A0748E"/>
    <w:rsid w:val="00A1138C"/>
    <w:rsid w:val="00A11C87"/>
    <w:rsid w:val="00A13A09"/>
    <w:rsid w:val="00A143E4"/>
    <w:rsid w:val="00A14739"/>
    <w:rsid w:val="00A14837"/>
    <w:rsid w:val="00A14DA9"/>
    <w:rsid w:val="00A16472"/>
    <w:rsid w:val="00A16CED"/>
    <w:rsid w:val="00A17129"/>
    <w:rsid w:val="00A202F4"/>
    <w:rsid w:val="00A21FD3"/>
    <w:rsid w:val="00A22AD0"/>
    <w:rsid w:val="00A249A2"/>
    <w:rsid w:val="00A25572"/>
    <w:rsid w:val="00A26164"/>
    <w:rsid w:val="00A27CEA"/>
    <w:rsid w:val="00A30313"/>
    <w:rsid w:val="00A322AB"/>
    <w:rsid w:val="00A32E06"/>
    <w:rsid w:val="00A34CB3"/>
    <w:rsid w:val="00A36DE1"/>
    <w:rsid w:val="00A372E9"/>
    <w:rsid w:val="00A41D60"/>
    <w:rsid w:val="00A425EA"/>
    <w:rsid w:val="00A4324D"/>
    <w:rsid w:val="00A445C1"/>
    <w:rsid w:val="00A44924"/>
    <w:rsid w:val="00A4502B"/>
    <w:rsid w:val="00A451B2"/>
    <w:rsid w:val="00A45F82"/>
    <w:rsid w:val="00A463E9"/>
    <w:rsid w:val="00A536B8"/>
    <w:rsid w:val="00A54B5A"/>
    <w:rsid w:val="00A54C11"/>
    <w:rsid w:val="00A579C4"/>
    <w:rsid w:val="00A6085E"/>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44A1"/>
    <w:rsid w:val="00A759D3"/>
    <w:rsid w:val="00A76B77"/>
    <w:rsid w:val="00A76CED"/>
    <w:rsid w:val="00A76F1B"/>
    <w:rsid w:val="00A77110"/>
    <w:rsid w:val="00A77497"/>
    <w:rsid w:val="00A77CD5"/>
    <w:rsid w:val="00A80155"/>
    <w:rsid w:val="00A8089F"/>
    <w:rsid w:val="00A818D5"/>
    <w:rsid w:val="00A81999"/>
    <w:rsid w:val="00A8469A"/>
    <w:rsid w:val="00A84C53"/>
    <w:rsid w:val="00A84EB1"/>
    <w:rsid w:val="00A84F7E"/>
    <w:rsid w:val="00A85B6E"/>
    <w:rsid w:val="00A8685F"/>
    <w:rsid w:val="00A8749F"/>
    <w:rsid w:val="00A87A79"/>
    <w:rsid w:val="00A907E1"/>
    <w:rsid w:val="00A9098A"/>
    <w:rsid w:val="00A90A9C"/>
    <w:rsid w:val="00A91A7E"/>
    <w:rsid w:val="00A92935"/>
    <w:rsid w:val="00A929E9"/>
    <w:rsid w:val="00A935CD"/>
    <w:rsid w:val="00A938B7"/>
    <w:rsid w:val="00A93D90"/>
    <w:rsid w:val="00A942D1"/>
    <w:rsid w:val="00A9434E"/>
    <w:rsid w:val="00AA1243"/>
    <w:rsid w:val="00AA12C9"/>
    <w:rsid w:val="00AA3673"/>
    <w:rsid w:val="00AA48F7"/>
    <w:rsid w:val="00AA77F3"/>
    <w:rsid w:val="00AA7BAD"/>
    <w:rsid w:val="00AB0DBC"/>
    <w:rsid w:val="00AB1838"/>
    <w:rsid w:val="00AB264C"/>
    <w:rsid w:val="00AB26AC"/>
    <w:rsid w:val="00AB2E52"/>
    <w:rsid w:val="00AB3497"/>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7FF7"/>
    <w:rsid w:val="00AD0BC2"/>
    <w:rsid w:val="00AD22B8"/>
    <w:rsid w:val="00AD2FB6"/>
    <w:rsid w:val="00AD3C96"/>
    <w:rsid w:val="00AD5236"/>
    <w:rsid w:val="00AD5349"/>
    <w:rsid w:val="00AD594B"/>
    <w:rsid w:val="00AD5FDC"/>
    <w:rsid w:val="00AD6E6A"/>
    <w:rsid w:val="00AD7A14"/>
    <w:rsid w:val="00AE0876"/>
    <w:rsid w:val="00AE0C27"/>
    <w:rsid w:val="00AE0D3F"/>
    <w:rsid w:val="00AE2D0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8C0"/>
    <w:rsid w:val="00B02A14"/>
    <w:rsid w:val="00B036E4"/>
    <w:rsid w:val="00B055E0"/>
    <w:rsid w:val="00B05DD1"/>
    <w:rsid w:val="00B076BF"/>
    <w:rsid w:val="00B10043"/>
    <w:rsid w:val="00B1028E"/>
    <w:rsid w:val="00B11B2A"/>
    <w:rsid w:val="00B11FA6"/>
    <w:rsid w:val="00B137A5"/>
    <w:rsid w:val="00B13D44"/>
    <w:rsid w:val="00B13E1C"/>
    <w:rsid w:val="00B141BC"/>
    <w:rsid w:val="00B142FB"/>
    <w:rsid w:val="00B16714"/>
    <w:rsid w:val="00B175E8"/>
    <w:rsid w:val="00B17986"/>
    <w:rsid w:val="00B2023C"/>
    <w:rsid w:val="00B20B4F"/>
    <w:rsid w:val="00B21D5B"/>
    <w:rsid w:val="00B2282D"/>
    <w:rsid w:val="00B2328D"/>
    <w:rsid w:val="00B23FE5"/>
    <w:rsid w:val="00B249AC"/>
    <w:rsid w:val="00B254AB"/>
    <w:rsid w:val="00B26C63"/>
    <w:rsid w:val="00B27BE7"/>
    <w:rsid w:val="00B27E58"/>
    <w:rsid w:val="00B32E26"/>
    <w:rsid w:val="00B353FD"/>
    <w:rsid w:val="00B368AA"/>
    <w:rsid w:val="00B416B7"/>
    <w:rsid w:val="00B41A95"/>
    <w:rsid w:val="00B420FE"/>
    <w:rsid w:val="00B42923"/>
    <w:rsid w:val="00B43EB2"/>
    <w:rsid w:val="00B44296"/>
    <w:rsid w:val="00B4444B"/>
    <w:rsid w:val="00B45A39"/>
    <w:rsid w:val="00B45C04"/>
    <w:rsid w:val="00B46345"/>
    <w:rsid w:val="00B46AFD"/>
    <w:rsid w:val="00B47D14"/>
    <w:rsid w:val="00B50825"/>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677"/>
    <w:rsid w:val="00B65439"/>
    <w:rsid w:val="00B65FF4"/>
    <w:rsid w:val="00B67F19"/>
    <w:rsid w:val="00B67F94"/>
    <w:rsid w:val="00B70460"/>
    <w:rsid w:val="00B7299C"/>
    <w:rsid w:val="00B72ECC"/>
    <w:rsid w:val="00B72F6B"/>
    <w:rsid w:val="00B735B1"/>
    <w:rsid w:val="00B739F0"/>
    <w:rsid w:val="00B73BC8"/>
    <w:rsid w:val="00B77A02"/>
    <w:rsid w:val="00B80534"/>
    <w:rsid w:val="00B809AC"/>
    <w:rsid w:val="00B80B57"/>
    <w:rsid w:val="00B812F9"/>
    <w:rsid w:val="00B85E13"/>
    <w:rsid w:val="00B86025"/>
    <w:rsid w:val="00B8676E"/>
    <w:rsid w:val="00B8685A"/>
    <w:rsid w:val="00B90149"/>
    <w:rsid w:val="00B91424"/>
    <w:rsid w:val="00B91702"/>
    <w:rsid w:val="00B9398A"/>
    <w:rsid w:val="00B94477"/>
    <w:rsid w:val="00B94652"/>
    <w:rsid w:val="00B95863"/>
    <w:rsid w:val="00B95D9B"/>
    <w:rsid w:val="00B95FEE"/>
    <w:rsid w:val="00B9621C"/>
    <w:rsid w:val="00B9796A"/>
    <w:rsid w:val="00BA0A48"/>
    <w:rsid w:val="00BA0A8B"/>
    <w:rsid w:val="00BA4D67"/>
    <w:rsid w:val="00BA584D"/>
    <w:rsid w:val="00BA7278"/>
    <w:rsid w:val="00BB015C"/>
    <w:rsid w:val="00BB054C"/>
    <w:rsid w:val="00BB1B46"/>
    <w:rsid w:val="00BB29C9"/>
    <w:rsid w:val="00BB29ED"/>
    <w:rsid w:val="00BB3647"/>
    <w:rsid w:val="00BB36B2"/>
    <w:rsid w:val="00BB4C01"/>
    <w:rsid w:val="00BB4DE7"/>
    <w:rsid w:val="00BB5754"/>
    <w:rsid w:val="00BB5885"/>
    <w:rsid w:val="00BB60CB"/>
    <w:rsid w:val="00BB6D63"/>
    <w:rsid w:val="00BB73FD"/>
    <w:rsid w:val="00BC0369"/>
    <w:rsid w:val="00BC310A"/>
    <w:rsid w:val="00BC34D6"/>
    <w:rsid w:val="00BC3B2B"/>
    <w:rsid w:val="00BC3B5F"/>
    <w:rsid w:val="00BC3BB6"/>
    <w:rsid w:val="00BC3F20"/>
    <w:rsid w:val="00BC478E"/>
    <w:rsid w:val="00BC6481"/>
    <w:rsid w:val="00BC6899"/>
    <w:rsid w:val="00BC70C3"/>
    <w:rsid w:val="00BD10E2"/>
    <w:rsid w:val="00BD2CF2"/>
    <w:rsid w:val="00BD39FD"/>
    <w:rsid w:val="00BD4278"/>
    <w:rsid w:val="00BD4A1C"/>
    <w:rsid w:val="00BD4AD5"/>
    <w:rsid w:val="00BD4D00"/>
    <w:rsid w:val="00BD6D87"/>
    <w:rsid w:val="00BD7007"/>
    <w:rsid w:val="00BE043F"/>
    <w:rsid w:val="00BE0687"/>
    <w:rsid w:val="00BE1748"/>
    <w:rsid w:val="00BE2FD6"/>
    <w:rsid w:val="00BE3199"/>
    <w:rsid w:val="00BE3371"/>
    <w:rsid w:val="00BE497D"/>
    <w:rsid w:val="00BE4C17"/>
    <w:rsid w:val="00BE617E"/>
    <w:rsid w:val="00BE621B"/>
    <w:rsid w:val="00BE6619"/>
    <w:rsid w:val="00BE79E1"/>
    <w:rsid w:val="00BF073B"/>
    <w:rsid w:val="00BF0DEA"/>
    <w:rsid w:val="00BF27A9"/>
    <w:rsid w:val="00BF2C60"/>
    <w:rsid w:val="00BF2E6B"/>
    <w:rsid w:val="00BF3EF6"/>
    <w:rsid w:val="00BF6652"/>
    <w:rsid w:val="00BF7AD1"/>
    <w:rsid w:val="00C0084A"/>
    <w:rsid w:val="00C00D63"/>
    <w:rsid w:val="00C0227D"/>
    <w:rsid w:val="00C02969"/>
    <w:rsid w:val="00C0375C"/>
    <w:rsid w:val="00C03B6D"/>
    <w:rsid w:val="00C0496B"/>
    <w:rsid w:val="00C04F75"/>
    <w:rsid w:val="00C067EE"/>
    <w:rsid w:val="00C06C2F"/>
    <w:rsid w:val="00C07CC6"/>
    <w:rsid w:val="00C11E7E"/>
    <w:rsid w:val="00C12677"/>
    <w:rsid w:val="00C1282E"/>
    <w:rsid w:val="00C12C1D"/>
    <w:rsid w:val="00C12F95"/>
    <w:rsid w:val="00C13332"/>
    <w:rsid w:val="00C145E9"/>
    <w:rsid w:val="00C1557B"/>
    <w:rsid w:val="00C16A4A"/>
    <w:rsid w:val="00C17781"/>
    <w:rsid w:val="00C247FE"/>
    <w:rsid w:val="00C25148"/>
    <w:rsid w:val="00C272AD"/>
    <w:rsid w:val="00C3024D"/>
    <w:rsid w:val="00C32105"/>
    <w:rsid w:val="00C3321F"/>
    <w:rsid w:val="00C33959"/>
    <w:rsid w:val="00C36A40"/>
    <w:rsid w:val="00C36D34"/>
    <w:rsid w:val="00C420E7"/>
    <w:rsid w:val="00C432F4"/>
    <w:rsid w:val="00C434AE"/>
    <w:rsid w:val="00C44719"/>
    <w:rsid w:val="00C44A6C"/>
    <w:rsid w:val="00C451F0"/>
    <w:rsid w:val="00C459F6"/>
    <w:rsid w:val="00C46033"/>
    <w:rsid w:val="00C4621C"/>
    <w:rsid w:val="00C4698D"/>
    <w:rsid w:val="00C510C9"/>
    <w:rsid w:val="00C51193"/>
    <w:rsid w:val="00C521DC"/>
    <w:rsid w:val="00C525DD"/>
    <w:rsid w:val="00C525DF"/>
    <w:rsid w:val="00C52A85"/>
    <w:rsid w:val="00C5328C"/>
    <w:rsid w:val="00C540D8"/>
    <w:rsid w:val="00C54D6D"/>
    <w:rsid w:val="00C550DC"/>
    <w:rsid w:val="00C55F87"/>
    <w:rsid w:val="00C5697B"/>
    <w:rsid w:val="00C56BBF"/>
    <w:rsid w:val="00C622E2"/>
    <w:rsid w:val="00C6479A"/>
    <w:rsid w:val="00C65B38"/>
    <w:rsid w:val="00C66A86"/>
    <w:rsid w:val="00C676CC"/>
    <w:rsid w:val="00C709C1"/>
    <w:rsid w:val="00C711FB"/>
    <w:rsid w:val="00C71280"/>
    <w:rsid w:val="00C71534"/>
    <w:rsid w:val="00C7167E"/>
    <w:rsid w:val="00C732F8"/>
    <w:rsid w:val="00C738A9"/>
    <w:rsid w:val="00C74AD7"/>
    <w:rsid w:val="00C74B04"/>
    <w:rsid w:val="00C75487"/>
    <w:rsid w:val="00C76FAD"/>
    <w:rsid w:val="00C776FD"/>
    <w:rsid w:val="00C8066F"/>
    <w:rsid w:val="00C80B85"/>
    <w:rsid w:val="00C80E50"/>
    <w:rsid w:val="00C83F0D"/>
    <w:rsid w:val="00C852FE"/>
    <w:rsid w:val="00C85923"/>
    <w:rsid w:val="00C8782E"/>
    <w:rsid w:val="00C87A58"/>
    <w:rsid w:val="00C87E54"/>
    <w:rsid w:val="00C901CA"/>
    <w:rsid w:val="00C902D4"/>
    <w:rsid w:val="00C90318"/>
    <w:rsid w:val="00C910CE"/>
    <w:rsid w:val="00C93465"/>
    <w:rsid w:val="00C94376"/>
    <w:rsid w:val="00C948DE"/>
    <w:rsid w:val="00C94B3E"/>
    <w:rsid w:val="00C9511F"/>
    <w:rsid w:val="00C954A6"/>
    <w:rsid w:val="00C95517"/>
    <w:rsid w:val="00C97405"/>
    <w:rsid w:val="00C97658"/>
    <w:rsid w:val="00CA3337"/>
    <w:rsid w:val="00CA39E1"/>
    <w:rsid w:val="00CA4469"/>
    <w:rsid w:val="00CA5B9C"/>
    <w:rsid w:val="00CA5F04"/>
    <w:rsid w:val="00CA5FC8"/>
    <w:rsid w:val="00CA69C2"/>
    <w:rsid w:val="00CA783E"/>
    <w:rsid w:val="00CB3854"/>
    <w:rsid w:val="00CB3B55"/>
    <w:rsid w:val="00CB46EC"/>
    <w:rsid w:val="00CB48A4"/>
    <w:rsid w:val="00CB4B6D"/>
    <w:rsid w:val="00CB4C02"/>
    <w:rsid w:val="00CB52EF"/>
    <w:rsid w:val="00CB5795"/>
    <w:rsid w:val="00CB7E00"/>
    <w:rsid w:val="00CC32CF"/>
    <w:rsid w:val="00CC3F57"/>
    <w:rsid w:val="00CC5ADC"/>
    <w:rsid w:val="00CC5F6F"/>
    <w:rsid w:val="00CC6A29"/>
    <w:rsid w:val="00CC6A79"/>
    <w:rsid w:val="00CC6CB8"/>
    <w:rsid w:val="00CC6FD8"/>
    <w:rsid w:val="00CC73AD"/>
    <w:rsid w:val="00CC74AD"/>
    <w:rsid w:val="00CD351E"/>
    <w:rsid w:val="00CD35DA"/>
    <w:rsid w:val="00CD4AB4"/>
    <w:rsid w:val="00CD520F"/>
    <w:rsid w:val="00CD5C36"/>
    <w:rsid w:val="00CD7166"/>
    <w:rsid w:val="00CD7212"/>
    <w:rsid w:val="00CE0064"/>
    <w:rsid w:val="00CE0DB0"/>
    <w:rsid w:val="00CE1747"/>
    <w:rsid w:val="00CE2559"/>
    <w:rsid w:val="00CE259E"/>
    <w:rsid w:val="00CF02D6"/>
    <w:rsid w:val="00CF13E6"/>
    <w:rsid w:val="00CF1BDD"/>
    <w:rsid w:val="00CF2D06"/>
    <w:rsid w:val="00CF3052"/>
    <w:rsid w:val="00CF4638"/>
    <w:rsid w:val="00CF5B8C"/>
    <w:rsid w:val="00CF5B93"/>
    <w:rsid w:val="00D019C0"/>
    <w:rsid w:val="00D030A8"/>
    <w:rsid w:val="00D04DF2"/>
    <w:rsid w:val="00D05441"/>
    <w:rsid w:val="00D05EB7"/>
    <w:rsid w:val="00D06596"/>
    <w:rsid w:val="00D076BD"/>
    <w:rsid w:val="00D111ED"/>
    <w:rsid w:val="00D12260"/>
    <w:rsid w:val="00D12C91"/>
    <w:rsid w:val="00D131DF"/>
    <w:rsid w:val="00D14095"/>
    <w:rsid w:val="00D1512C"/>
    <w:rsid w:val="00D15984"/>
    <w:rsid w:val="00D1710F"/>
    <w:rsid w:val="00D20056"/>
    <w:rsid w:val="00D21195"/>
    <w:rsid w:val="00D217C3"/>
    <w:rsid w:val="00D23781"/>
    <w:rsid w:val="00D268A3"/>
    <w:rsid w:val="00D27423"/>
    <w:rsid w:val="00D30E15"/>
    <w:rsid w:val="00D30E4F"/>
    <w:rsid w:val="00D3127D"/>
    <w:rsid w:val="00D31712"/>
    <w:rsid w:val="00D31D17"/>
    <w:rsid w:val="00D339EF"/>
    <w:rsid w:val="00D33CB7"/>
    <w:rsid w:val="00D34702"/>
    <w:rsid w:val="00D34BD8"/>
    <w:rsid w:val="00D35F03"/>
    <w:rsid w:val="00D401F9"/>
    <w:rsid w:val="00D408A9"/>
    <w:rsid w:val="00D41219"/>
    <w:rsid w:val="00D41867"/>
    <w:rsid w:val="00D41CCB"/>
    <w:rsid w:val="00D428E8"/>
    <w:rsid w:val="00D42956"/>
    <w:rsid w:val="00D4353B"/>
    <w:rsid w:val="00D44394"/>
    <w:rsid w:val="00D45D0C"/>
    <w:rsid w:val="00D47DAE"/>
    <w:rsid w:val="00D51024"/>
    <w:rsid w:val="00D5177E"/>
    <w:rsid w:val="00D51C2D"/>
    <w:rsid w:val="00D51CCF"/>
    <w:rsid w:val="00D51EB9"/>
    <w:rsid w:val="00D52A06"/>
    <w:rsid w:val="00D54221"/>
    <w:rsid w:val="00D555F5"/>
    <w:rsid w:val="00D55B1C"/>
    <w:rsid w:val="00D5761F"/>
    <w:rsid w:val="00D57704"/>
    <w:rsid w:val="00D60D00"/>
    <w:rsid w:val="00D6131E"/>
    <w:rsid w:val="00D61BE1"/>
    <w:rsid w:val="00D61F72"/>
    <w:rsid w:val="00D62936"/>
    <w:rsid w:val="00D63BE4"/>
    <w:rsid w:val="00D6497D"/>
    <w:rsid w:val="00D64CCF"/>
    <w:rsid w:val="00D64E8F"/>
    <w:rsid w:val="00D71A3B"/>
    <w:rsid w:val="00D720FD"/>
    <w:rsid w:val="00D72455"/>
    <w:rsid w:val="00D738D3"/>
    <w:rsid w:val="00D74C33"/>
    <w:rsid w:val="00D75134"/>
    <w:rsid w:val="00D775B2"/>
    <w:rsid w:val="00D7760D"/>
    <w:rsid w:val="00D80808"/>
    <w:rsid w:val="00D80CF1"/>
    <w:rsid w:val="00D82051"/>
    <w:rsid w:val="00D82813"/>
    <w:rsid w:val="00D82CF5"/>
    <w:rsid w:val="00D831B8"/>
    <w:rsid w:val="00D845A2"/>
    <w:rsid w:val="00D84AA3"/>
    <w:rsid w:val="00D84D28"/>
    <w:rsid w:val="00D85967"/>
    <w:rsid w:val="00D85D58"/>
    <w:rsid w:val="00D912E0"/>
    <w:rsid w:val="00D920C3"/>
    <w:rsid w:val="00D92128"/>
    <w:rsid w:val="00D934BC"/>
    <w:rsid w:val="00D938B5"/>
    <w:rsid w:val="00D95C57"/>
    <w:rsid w:val="00D97C5B"/>
    <w:rsid w:val="00DA3BA4"/>
    <w:rsid w:val="00DA3CB3"/>
    <w:rsid w:val="00DA4B7C"/>
    <w:rsid w:val="00DA51C9"/>
    <w:rsid w:val="00DA53DB"/>
    <w:rsid w:val="00DA6E12"/>
    <w:rsid w:val="00DA6F60"/>
    <w:rsid w:val="00DA7255"/>
    <w:rsid w:val="00DA7D11"/>
    <w:rsid w:val="00DB0A18"/>
    <w:rsid w:val="00DB0D9B"/>
    <w:rsid w:val="00DB0E8A"/>
    <w:rsid w:val="00DB12E0"/>
    <w:rsid w:val="00DB19D7"/>
    <w:rsid w:val="00DB259B"/>
    <w:rsid w:val="00DB3094"/>
    <w:rsid w:val="00DB3FEB"/>
    <w:rsid w:val="00DB40FE"/>
    <w:rsid w:val="00DB5A06"/>
    <w:rsid w:val="00DB665B"/>
    <w:rsid w:val="00DB7D6A"/>
    <w:rsid w:val="00DC0A6E"/>
    <w:rsid w:val="00DC0AF3"/>
    <w:rsid w:val="00DC21DA"/>
    <w:rsid w:val="00DC398A"/>
    <w:rsid w:val="00DC3C32"/>
    <w:rsid w:val="00DC4322"/>
    <w:rsid w:val="00DC51CB"/>
    <w:rsid w:val="00DC6152"/>
    <w:rsid w:val="00DC6A17"/>
    <w:rsid w:val="00DD12E9"/>
    <w:rsid w:val="00DD14CC"/>
    <w:rsid w:val="00DD200D"/>
    <w:rsid w:val="00DD231B"/>
    <w:rsid w:val="00DD368D"/>
    <w:rsid w:val="00DD3872"/>
    <w:rsid w:val="00DD3B52"/>
    <w:rsid w:val="00DD4CF8"/>
    <w:rsid w:val="00DD6B95"/>
    <w:rsid w:val="00DD6DC2"/>
    <w:rsid w:val="00DD6DE5"/>
    <w:rsid w:val="00DD73C7"/>
    <w:rsid w:val="00DD7A63"/>
    <w:rsid w:val="00DE02CE"/>
    <w:rsid w:val="00DE0D61"/>
    <w:rsid w:val="00DE10B8"/>
    <w:rsid w:val="00DE1211"/>
    <w:rsid w:val="00DE1F4C"/>
    <w:rsid w:val="00DE2619"/>
    <w:rsid w:val="00DE2695"/>
    <w:rsid w:val="00DE3189"/>
    <w:rsid w:val="00DE42C2"/>
    <w:rsid w:val="00DE50C7"/>
    <w:rsid w:val="00DE6816"/>
    <w:rsid w:val="00DE681A"/>
    <w:rsid w:val="00DE7330"/>
    <w:rsid w:val="00DE7959"/>
    <w:rsid w:val="00DF11EB"/>
    <w:rsid w:val="00DF16DA"/>
    <w:rsid w:val="00DF1BA9"/>
    <w:rsid w:val="00DF1E19"/>
    <w:rsid w:val="00DF29CA"/>
    <w:rsid w:val="00DF3B50"/>
    <w:rsid w:val="00DF45CA"/>
    <w:rsid w:val="00DF467C"/>
    <w:rsid w:val="00DF6C9B"/>
    <w:rsid w:val="00DF6FC9"/>
    <w:rsid w:val="00E001B4"/>
    <w:rsid w:val="00E0061A"/>
    <w:rsid w:val="00E02926"/>
    <w:rsid w:val="00E0480F"/>
    <w:rsid w:val="00E04D00"/>
    <w:rsid w:val="00E05651"/>
    <w:rsid w:val="00E06840"/>
    <w:rsid w:val="00E06D36"/>
    <w:rsid w:val="00E079A0"/>
    <w:rsid w:val="00E079A5"/>
    <w:rsid w:val="00E1012C"/>
    <w:rsid w:val="00E10162"/>
    <w:rsid w:val="00E10557"/>
    <w:rsid w:val="00E12B0A"/>
    <w:rsid w:val="00E1447F"/>
    <w:rsid w:val="00E149C0"/>
    <w:rsid w:val="00E14DE8"/>
    <w:rsid w:val="00E15CD7"/>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44673"/>
    <w:rsid w:val="00E447E3"/>
    <w:rsid w:val="00E45E38"/>
    <w:rsid w:val="00E46537"/>
    <w:rsid w:val="00E50129"/>
    <w:rsid w:val="00E50BAB"/>
    <w:rsid w:val="00E50D79"/>
    <w:rsid w:val="00E51684"/>
    <w:rsid w:val="00E531E4"/>
    <w:rsid w:val="00E53D98"/>
    <w:rsid w:val="00E53E8B"/>
    <w:rsid w:val="00E54BD9"/>
    <w:rsid w:val="00E56FEC"/>
    <w:rsid w:val="00E573E3"/>
    <w:rsid w:val="00E577F7"/>
    <w:rsid w:val="00E61583"/>
    <w:rsid w:val="00E62E0D"/>
    <w:rsid w:val="00E644EB"/>
    <w:rsid w:val="00E65FA9"/>
    <w:rsid w:val="00E663A4"/>
    <w:rsid w:val="00E66913"/>
    <w:rsid w:val="00E66EC3"/>
    <w:rsid w:val="00E67300"/>
    <w:rsid w:val="00E67B0E"/>
    <w:rsid w:val="00E705B3"/>
    <w:rsid w:val="00E70D75"/>
    <w:rsid w:val="00E71F7B"/>
    <w:rsid w:val="00E72D87"/>
    <w:rsid w:val="00E731A0"/>
    <w:rsid w:val="00E73FBD"/>
    <w:rsid w:val="00E7481D"/>
    <w:rsid w:val="00E74B65"/>
    <w:rsid w:val="00E74D12"/>
    <w:rsid w:val="00E7526A"/>
    <w:rsid w:val="00E77B3F"/>
    <w:rsid w:val="00E77F37"/>
    <w:rsid w:val="00E81B5B"/>
    <w:rsid w:val="00E82CFD"/>
    <w:rsid w:val="00E83DDC"/>
    <w:rsid w:val="00E84F5E"/>
    <w:rsid w:val="00E8546D"/>
    <w:rsid w:val="00E85AFB"/>
    <w:rsid w:val="00E85FCC"/>
    <w:rsid w:val="00E85FEB"/>
    <w:rsid w:val="00E8637A"/>
    <w:rsid w:val="00E86381"/>
    <w:rsid w:val="00E875D2"/>
    <w:rsid w:val="00E915AC"/>
    <w:rsid w:val="00E942DB"/>
    <w:rsid w:val="00E955EC"/>
    <w:rsid w:val="00E958B7"/>
    <w:rsid w:val="00E967E5"/>
    <w:rsid w:val="00E97430"/>
    <w:rsid w:val="00E974E8"/>
    <w:rsid w:val="00EA0716"/>
    <w:rsid w:val="00EA0B89"/>
    <w:rsid w:val="00EA134C"/>
    <w:rsid w:val="00EA3B21"/>
    <w:rsid w:val="00EA3EED"/>
    <w:rsid w:val="00EA3F29"/>
    <w:rsid w:val="00EA4442"/>
    <w:rsid w:val="00EA4487"/>
    <w:rsid w:val="00EA4C26"/>
    <w:rsid w:val="00EA5458"/>
    <w:rsid w:val="00EA5EA5"/>
    <w:rsid w:val="00EA777F"/>
    <w:rsid w:val="00EB02A5"/>
    <w:rsid w:val="00EB03CE"/>
    <w:rsid w:val="00EB1EE7"/>
    <w:rsid w:val="00EB2232"/>
    <w:rsid w:val="00EB5221"/>
    <w:rsid w:val="00EB5C7F"/>
    <w:rsid w:val="00EC3D70"/>
    <w:rsid w:val="00EC499D"/>
    <w:rsid w:val="00EC4D99"/>
    <w:rsid w:val="00EC5CEF"/>
    <w:rsid w:val="00EC6486"/>
    <w:rsid w:val="00EC6FB2"/>
    <w:rsid w:val="00EC6FD9"/>
    <w:rsid w:val="00EC794E"/>
    <w:rsid w:val="00ED0FE3"/>
    <w:rsid w:val="00ED2B61"/>
    <w:rsid w:val="00ED2F7B"/>
    <w:rsid w:val="00ED45A5"/>
    <w:rsid w:val="00ED52CE"/>
    <w:rsid w:val="00ED7563"/>
    <w:rsid w:val="00EE01F8"/>
    <w:rsid w:val="00EE23B0"/>
    <w:rsid w:val="00EE26B8"/>
    <w:rsid w:val="00EE2946"/>
    <w:rsid w:val="00EE444D"/>
    <w:rsid w:val="00EE5C5F"/>
    <w:rsid w:val="00EE5FBA"/>
    <w:rsid w:val="00EE61D2"/>
    <w:rsid w:val="00EF0556"/>
    <w:rsid w:val="00EF1F10"/>
    <w:rsid w:val="00EF2F5B"/>
    <w:rsid w:val="00EF399A"/>
    <w:rsid w:val="00EF499B"/>
    <w:rsid w:val="00EF4B7F"/>
    <w:rsid w:val="00EF69A1"/>
    <w:rsid w:val="00EF736F"/>
    <w:rsid w:val="00EF7419"/>
    <w:rsid w:val="00F00BB7"/>
    <w:rsid w:val="00F01D42"/>
    <w:rsid w:val="00F0220C"/>
    <w:rsid w:val="00F027CC"/>
    <w:rsid w:val="00F03471"/>
    <w:rsid w:val="00F05BE5"/>
    <w:rsid w:val="00F06426"/>
    <w:rsid w:val="00F10796"/>
    <w:rsid w:val="00F11DF2"/>
    <w:rsid w:val="00F135ED"/>
    <w:rsid w:val="00F15603"/>
    <w:rsid w:val="00F16824"/>
    <w:rsid w:val="00F16B7E"/>
    <w:rsid w:val="00F16D75"/>
    <w:rsid w:val="00F16FD8"/>
    <w:rsid w:val="00F17436"/>
    <w:rsid w:val="00F178E5"/>
    <w:rsid w:val="00F17956"/>
    <w:rsid w:val="00F22FF3"/>
    <w:rsid w:val="00F24A3A"/>
    <w:rsid w:val="00F24E59"/>
    <w:rsid w:val="00F301CC"/>
    <w:rsid w:val="00F30500"/>
    <w:rsid w:val="00F31302"/>
    <w:rsid w:val="00F31CD0"/>
    <w:rsid w:val="00F33802"/>
    <w:rsid w:val="00F344A4"/>
    <w:rsid w:val="00F34E1C"/>
    <w:rsid w:val="00F35420"/>
    <w:rsid w:val="00F36C42"/>
    <w:rsid w:val="00F40125"/>
    <w:rsid w:val="00F4123E"/>
    <w:rsid w:val="00F42736"/>
    <w:rsid w:val="00F43457"/>
    <w:rsid w:val="00F437BA"/>
    <w:rsid w:val="00F45C71"/>
    <w:rsid w:val="00F45F8E"/>
    <w:rsid w:val="00F46C0B"/>
    <w:rsid w:val="00F512E3"/>
    <w:rsid w:val="00F52445"/>
    <w:rsid w:val="00F52E69"/>
    <w:rsid w:val="00F53692"/>
    <w:rsid w:val="00F56C5C"/>
    <w:rsid w:val="00F56FDD"/>
    <w:rsid w:val="00F6001B"/>
    <w:rsid w:val="00F6065E"/>
    <w:rsid w:val="00F60967"/>
    <w:rsid w:val="00F60989"/>
    <w:rsid w:val="00F60B24"/>
    <w:rsid w:val="00F63C0B"/>
    <w:rsid w:val="00F65365"/>
    <w:rsid w:val="00F653A7"/>
    <w:rsid w:val="00F65A5C"/>
    <w:rsid w:val="00F66CC8"/>
    <w:rsid w:val="00F66DB8"/>
    <w:rsid w:val="00F70E0B"/>
    <w:rsid w:val="00F717AF"/>
    <w:rsid w:val="00F71E36"/>
    <w:rsid w:val="00F72F98"/>
    <w:rsid w:val="00F7365C"/>
    <w:rsid w:val="00F74405"/>
    <w:rsid w:val="00F74C3C"/>
    <w:rsid w:val="00F75108"/>
    <w:rsid w:val="00F75608"/>
    <w:rsid w:val="00F75BBD"/>
    <w:rsid w:val="00F76871"/>
    <w:rsid w:val="00F76A2E"/>
    <w:rsid w:val="00F77AB9"/>
    <w:rsid w:val="00F80C06"/>
    <w:rsid w:val="00F83B8A"/>
    <w:rsid w:val="00F852E9"/>
    <w:rsid w:val="00F87913"/>
    <w:rsid w:val="00F90888"/>
    <w:rsid w:val="00F914D7"/>
    <w:rsid w:val="00F91706"/>
    <w:rsid w:val="00F92244"/>
    <w:rsid w:val="00F92A49"/>
    <w:rsid w:val="00F9381C"/>
    <w:rsid w:val="00F974C6"/>
    <w:rsid w:val="00FA1673"/>
    <w:rsid w:val="00FA1928"/>
    <w:rsid w:val="00FA26D5"/>
    <w:rsid w:val="00FA4307"/>
    <w:rsid w:val="00FA4890"/>
    <w:rsid w:val="00FA7026"/>
    <w:rsid w:val="00FA7271"/>
    <w:rsid w:val="00FA7477"/>
    <w:rsid w:val="00FB0CC8"/>
    <w:rsid w:val="00FB245A"/>
    <w:rsid w:val="00FB2CB9"/>
    <w:rsid w:val="00FB6A70"/>
    <w:rsid w:val="00FC04B9"/>
    <w:rsid w:val="00FC0594"/>
    <w:rsid w:val="00FC0645"/>
    <w:rsid w:val="00FC0D4A"/>
    <w:rsid w:val="00FC15AD"/>
    <w:rsid w:val="00FC171A"/>
    <w:rsid w:val="00FC1A54"/>
    <w:rsid w:val="00FC46D5"/>
    <w:rsid w:val="00FC6877"/>
    <w:rsid w:val="00FD09FF"/>
    <w:rsid w:val="00FD10DD"/>
    <w:rsid w:val="00FD2357"/>
    <w:rsid w:val="00FD23FA"/>
    <w:rsid w:val="00FD26CE"/>
    <w:rsid w:val="00FD3521"/>
    <w:rsid w:val="00FD6F6C"/>
    <w:rsid w:val="00FE0F13"/>
    <w:rsid w:val="00FE1F44"/>
    <w:rsid w:val="00FE3AE1"/>
    <w:rsid w:val="00FE42C7"/>
    <w:rsid w:val="00FE4421"/>
    <w:rsid w:val="00FE45C8"/>
    <w:rsid w:val="00FE4CDB"/>
    <w:rsid w:val="00FE54A1"/>
    <w:rsid w:val="00FE6840"/>
    <w:rsid w:val="00FF0E57"/>
    <w:rsid w:val="00FF1BAA"/>
    <w:rsid w:val="00FF2BDC"/>
    <w:rsid w:val="00FF44E7"/>
    <w:rsid w:val="00FF48BF"/>
    <w:rsid w:val="00FF49AB"/>
    <w:rsid w:val="00FF57D0"/>
    <w:rsid w:val="00FF5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A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219"/>
    <w:pPr>
      <w:ind w:left="720"/>
      <w:contextualSpacing/>
    </w:pPr>
  </w:style>
  <w:style w:type="character" w:customStyle="1" w:styleId="SUBST">
    <w:name w:val="__SUBST"/>
    <w:rsid w:val="00E85AFB"/>
    <w:rPr>
      <w:b/>
      <w:bCs/>
      <w:i/>
      <w:iCs/>
      <w:sz w:val="22"/>
      <w:szCs w:val="22"/>
    </w:rPr>
  </w:style>
  <w:style w:type="paragraph" w:styleId="a4">
    <w:name w:val="Balloon Text"/>
    <w:basedOn w:val="a"/>
    <w:link w:val="a5"/>
    <w:uiPriority w:val="99"/>
    <w:semiHidden/>
    <w:unhideWhenUsed/>
    <w:rsid w:val="00194802"/>
    <w:rPr>
      <w:rFonts w:ascii="Tahoma" w:hAnsi="Tahoma" w:cs="Tahoma"/>
      <w:sz w:val="16"/>
      <w:szCs w:val="16"/>
    </w:rPr>
  </w:style>
  <w:style w:type="character" w:customStyle="1" w:styleId="a5">
    <w:name w:val="Текст выноски Знак"/>
    <w:basedOn w:val="a0"/>
    <w:link w:val="a4"/>
    <w:uiPriority w:val="99"/>
    <w:semiHidden/>
    <w:rsid w:val="0019480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2012-09-03T14:04:00Z</dcterms:created>
  <dcterms:modified xsi:type="dcterms:W3CDTF">2012-09-04T14:14:00Z</dcterms:modified>
</cp:coreProperties>
</file>