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Default="002A4625" w:rsidP="002A4625">
      <w:pPr>
        <w:jc w:val="center"/>
        <w:rPr>
          <w:b/>
          <w:bCs/>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358"/>
        <w:gridCol w:w="38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2B27FA"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2B27FA"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B27FA" w:rsidRPr="002B27FA" w:rsidRDefault="002A4625" w:rsidP="002B27FA">
            <w:pPr>
              <w:adjustRightInd w:val="0"/>
              <w:ind w:left="152"/>
              <w:jc w:val="both"/>
              <w:rPr>
                <w:rFonts w:eastAsia="MS Mincho"/>
                <w:b/>
                <w:i/>
                <w:color w:val="000000"/>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2B27FA" w:rsidRPr="002B27FA">
              <w:rPr>
                <w:rFonts w:eastAsia="MS Mincho"/>
                <w:b/>
                <w:i/>
                <w:color w:val="000000"/>
              </w:rPr>
              <w:t xml:space="preserve">Список владельцев Акций составляется в связи с получением эмитентом </w:t>
            </w:r>
            <w:r w:rsidR="002B27FA">
              <w:rPr>
                <w:rFonts w:eastAsia="MS Mincho"/>
                <w:b/>
                <w:i/>
                <w:color w:val="000000"/>
              </w:rPr>
              <w:t>05.11.2015</w:t>
            </w:r>
            <w:r w:rsidR="002B27FA" w:rsidRPr="002B27FA">
              <w:rPr>
                <w:rFonts w:eastAsia="MS Mincho"/>
                <w:b/>
                <w:i/>
                <w:color w:val="000000"/>
              </w:rPr>
              <w:t xml:space="preserve"> обязательного предложения Общества с ограниченной ответственностью «ИНВЕСТОР» о приобретении Акций в соответствии с п. 2 ст. 84.3 ФЗ «Об акционерных обществах». </w:t>
            </w:r>
          </w:p>
          <w:p w:rsidR="002A4625" w:rsidRPr="00173B16" w:rsidRDefault="002A4625" w:rsidP="00BA3A29">
            <w:pPr>
              <w:adjustRightInd w:val="0"/>
              <w:jc w:val="both"/>
              <w:outlineLvl w:val="3"/>
              <w:rPr>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2B27FA">
              <w:rPr>
                <w:sz w:val="19"/>
                <w:szCs w:val="19"/>
              </w:rPr>
              <w:t>05</w:t>
            </w:r>
            <w:r w:rsidR="00B3441E">
              <w:rPr>
                <w:sz w:val="19"/>
                <w:szCs w:val="19"/>
              </w:rPr>
              <w:t xml:space="preserve"> </w:t>
            </w:r>
            <w:r w:rsidR="002B27FA">
              <w:rPr>
                <w:sz w:val="19"/>
                <w:szCs w:val="19"/>
              </w:rPr>
              <w:t>ноября</w:t>
            </w:r>
            <w:r w:rsidR="001D61C4">
              <w:rPr>
                <w:sz w:val="19"/>
                <w:szCs w:val="19"/>
              </w:rPr>
              <w:t xml:space="preserve"> </w:t>
            </w:r>
            <w:r w:rsidR="00972D1F">
              <w:rPr>
                <w:sz w:val="19"/>
                <w:szCs w:val="19"/>
              </w:rPr>
              <w:t>2015</w:t>
            </w:r>
            <w:r w:rsidR="00173B16" w:rsidRPr="00173B16">
              <w:rPr>
                <w:sz w:val="19"/>
                <w:szCs w:val="19"/>
              </w:rPr>
              <w:t xml:space="preserve"> </w:t>
            </w:r>
            <w:r w:rsidRPr="00173B16">
              <w:rPr>
                <w:sz w:val="19"/>
                <w:szCs w:val="19"/>
              </w:rPr>
              <w:t>г.</w:t>
            </w:r>
          </w:p>
          <w:p w:rsidR="002A4625" w:rsidRPr="00173B16" w:rsidRDefault="002A4625" w:rsidP="002B27FA">
            <w:pPr>
              <w:adjustRightInd w:val="0"/>
              <w:jc w:val="both"/>
              <w:outlineLvl w:val="3"/>
              <w:rPr>
                <w:sz w:val="19"/>
                <w:szCs w:val="19"/>
              </w:rPr>
            </w:pPr>
            <w:r w:rsidRPr="00173B16">
              <w:rPr>
                <w:sz w:val="19"/>
                <w:szCs w:val="19"/>
              </w:rPr>
              <w:t xml:space="preserve">2.4. </w:t>
            </w:r>
            <w:proofErr w:type="gramStart"/>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2B27FA">
              <w:rPr>
                <w:sz w:val="19"/>
                <w:szCs w:val="19"/>
              </w:rPr>
              <w:t xml:space="preserve">Совета </w:t>
            </w:r>
            <w:proofErr w:type="gramStart"/>
            <w:r w:rsidR="002B27FA">
              <w:rPr>
                <w:sz w:val="19"/>
                <w:szCs w:val="19"/>
              </w:rPr>
              <w:t>директоров</w:t>
            </w:r>
            <w:r w:rsidR="00636435">
              <w:rPr>
                <w:sz w:val="19"/>
                <w:szCs w:val="19"/>
              </w:rPr>
              <w:t xml:space="preserve"> б</w:t>
            </w:r>
            <w:proofErr w:type="gramEnd"/>
            <w:r w:rsidR="00636435">
              <w:rPr>
                <w:sz w:val="19"/>
                <w:szCs w:val="19"/>
              </w:rPr>
              <w:t xml:space="preserve">/н от </w:t>
            </w:r>
            <w:r w:rsidR="002B27FA">
              <w:rPr>
                <w:sz w:val="19"/>
                <w:szCs w:val="19"/>
              </w:rPr>
              <w:t>09.11</w:t>
            </w:r>
            <w:r w:rsidR="00972D1F">
              <w:rPr>
                <w:sz w:val="19"/>
                <w:szCs w:val="19"/>
              </w:rPr>
              <w:t>.2015</w:t>
            </w:r>
            <w:r w:rsidR="009E6E2A">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bookmarkStart w:id="0" w:name="_GoBack"/>
            <w:bookmarkEnd w:id="0"/>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2B2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358" w:type="dxa"/>
            <w:tcBorders>
              <w:top w:val="nil"/>
              <w:left w:val="nil"/>
              <w:bottom w:val="single" w:sz="4" w:space="0" w:color="auto"/>
              <w:right w:val="nil"/>
            </w:tcBorders>
            <w:vAlign w:val="center"/>
          </w:tcPr>
          <w:p w:rsidR="002A4625" w:rsidRPr="00173B16" w:rsidRDefault="002B27FA" w:rsidP="00BA3A29">
            <w:pPr>
              <w:jc w:val="center"/>
              <w:rPr>
                <w:sz w:val="19"/>
                <w:szCs w:val="19"/>
                <w:highlight w:val="yellow"/>
              </w:rPr>
            </w:pPr>
            <w:r>
              <w:rPr>
                <w:sz w:val="19"/>
                <w:szCs w:val="19"/>
              </w:rPr>
              <w:t>10</w:t>
            </w:r>
          </w:p>
        </w:tc>
        <w:tc>
          <w:tcPr>
            <w:tcW w:w="38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2B27FA" w:rsidP="00BA3A29">
            <w:pPr>
              <w:jc w:val="center"/>
              <w:rPr>
                <w:sz w:val="19"/>
                <w:szCs w:val="19"/>
              </w:rPr>
            </w:pPr>
            <w:r>
              <w:rPr>
                <w:sz w:val="19"/>
                <w:szCs w:val="19"/>
              </w:rPr>
              <w:t>ноября</w:t>
            </w:r>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2B27FA" w:rsidP="00A066A1">
    <w:pPr>
      <w:pStyle w:val="a3"/>
      <w:rPr>
        <w:szCs w:val="14"/>
      </w:rPr>
    </w:pPr>
  </w:p>
  <w:p w:rsidR="00A066A1" w:rsidRPr="00BD58A4" w:rsidRDefault="002B27FA"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7FA"/>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415"/>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441E"/>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3</cp:revision>
  <dcterms:created xsi:type="dcterms:W3CDTF">2015-11-10T08:17:00Z</dcterms:created>
  <dcterms:modified xsi:type="dcterms:W3CDTF">2015-11-10T08:26:00Z</dcterms:modified>
</cp:coreProperties>
</file>