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5DA" w:rsidRPr="001C0297" w:rsidRDefault="000E35DA" w:rsidP="009F0667">
      <w:pPr>
        <w:adjustRightInd w:val="0"/>
        <w:ind w:firstLine="540"/>
        <w:jc w:val="center"/>
        <w:outlineLvl w:val="0"/>
        <w:rPr>
          <w:rFonts w:ascii="Arial" w:hAnsi="Arial" w:cs="Arial"/>
          <w:b/>
          <w:bCs/>
          <w:color w:val="000000"/>
        </w:rPr>
      </w:pPr>
      <w:r w:rsidRPr="001C0297">
        <w:rPr>
          <w:rFonts w:ascii="Arial" w:hAnsi="Arial" w:cs="Arial"/>
          <w:b/>
          <w:bCs/>
          <w:color w:val="000000"/>
        </w:rPr>
        <w:t>СООБЩЕНИЕ О СУЩЕСТВЕННОМ ФАКТЕ</w:t>
      </w:r>
    </w:p>
    <w:p w:rsidR="000E35DA" w:rsidRPr="001C0297" w:rsidRDefault="00E91693" w:rsidP="009F0667">
      <w:pPr>
        <w:adjustRightInd w:val="0"/>
        <w:ind w:firstLine="540"/>
        <w:jc w:val="center"/>
        <w:outlineLvl w:val="0"/>
        <w:rPr>
          <w:rFonts w:ascii="Arial" w:hAnsi="Arial" w:cs="Arial"/>
          <w:b/>
          <w:bCs/>
          <w:color w:val="000000"/>
        </w:rPr>
      </w:pPr>
      <w:r>
        <w:rPr>
          <w:rFonts w:ascii="Arial" w:hAnsi="Arial" w:cs="Arial"/>
          <w:b/>
          <w:bCs/>
          <w:color w:val="000000"/>
        </w:rPr>
        <w:t>ОКАЗЫВАЮЩЕМ, ПО МНЕНИЮ</w:t>
      </w:r>
      <w:r w:rsidR="003F5C4B" w:rsidRPr="001C0297">
        <w:rPr>
          <w:rFonts w:ascii="Arial" w:hAnsi="Arial" w:cs="Arial"/>
          <w:b/>
          <w:bCs/>
          <w:color w:val="000000"/>
        </w:rPr>
        <w:t xml:space="preserve"> ЭМИТЕНТА, СУЩЕСТВЕННОЕ ВЛИЯНИЕ НА СТОИМОСТЬ ЕГО ЭМИССИОННЫХ ЦЕННЫХ БУМАГ</w:t>
      </w:r>
    </w:p>
    <w:p w:rsidR="009E6168" w:rsidRPr="001C0297" w:rsidRDefault="009E6168" w:rsidP="009E6168">
      <w:pPr>
        <w:spacing w:before="120"/>
        <w:jc w:val="cente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5117"/>
      </w:tblGrid>
      <w:tr w:rsidR="002751FC" w:rsidRPr="001C0297">
        <w:trPr>
          <w:cantSplit/>
        </w:trPr>
        <w:tc>
          <w:tcPr>
            <w:tcW w:w="10234" w:type="dxa"/>
            <w:gridSpan w:val="2"/>
            <w:vAlign w:val="bottom"/>
          </w:tcPr>
          <w:p w:rsidR="002751FC" w:rsidRPr="001C0297" w:rsidRDefault="002751FC">
            <w:pPr>
              <w:jc w:val="center"/>
              <w:rPr>
                <w:rFonts w:ascii="Arial" w:hAnsi="Arial" w:cs="Arial"/>
              </w:rPr>
            </w:pPr>
            <w:r w:rsidRPr="001C0297">
              <w:rPr>
                <w:rFonts w:ascii="Arial" w:hAnsi="Arial" w:cs="Arial"/>
              </w:rPr>
              <w:t>1. Общие сведения</w:t>
            </w:r>
          </w:p>
        </w:tc>
      </w:tr>
      <w:tr w:rsidR="001C0297" w:rsidRPr="001C0297" w:rsidTr="0005604E">
        <w:tc>
          <w:tcPr>
            <w:tcW w:w="5117" w:type="dxa"/>
            <w:vAlign w:val="center"/>
          </w:tcPr>
          <w:p w:rsidR="001C0297" w:rsidRPr="001C0297" w:rsidRDefault="001C0297" w:rsidP="000E1369">
            <w:pPr>
              <w:ind w:left="57"/>
              <w:rPr>
                <w:rFonts w:ascii="Arial" w:hAnsi="Arial" w:cs="Arial"/>
              </w:rPr>
            </w:pPr>
            <w:r w:rsidRPr="001C0297">
              <w:rPr>
                <w:rFonts w:ascii="Arial" w:hAnsi="Arial" w:cs="Arial"/>
              </w:rPr>
              <w:t>1.1. Полное фирменное наименование эмитента</w:t>
            </w:r>
          </w:p>
        </w:tc>
        <w:tc>
          <w:tcPr>
            <w:tcW w:w="5117" w:type="dxa"/>
          </w:tcPr>
          <w:p w:rsidR="001C0297" w:rsidRPr="001C0297" w:rsidRDefault="001C0297" w:rsidP="00D07931">
            <w:pPr>
              <w:rPr>
                <w:rFonts w:ascii="Arial" w:hAnsi="Arial" w:cs="Arial"/>
              </w:rPr>
            </w:pPr>
            <w:r w:rsidRPr="001C0297">
              <w:rPr>
                <w:rFonts w:ascii="Arial" w:hAnsi="Arial" w:cs="Arial"/>
              </w:rPr>
              <w:t>Открытое акционерное общество «Якутская топливно-энергетическая компания»</w:t>
            </w:r>
          </w:p>
        </w:tc>
      </w:tr>
      <w:tr w:rsidR="001C0297" w:rsidRPr="001C0297" w:rsidTr="0005604E">
        <w:tc>
          <w:tcPr>
            <w:tcW w:w="5117" w:type="dxa"/>
            <w:vAlign w:val="center"/>
          </w:tcPr>
          <w:p w:rsidR="001C0297" w:rsidRPr="001C0297" w:rsidRDefault="001C0297" w:rsidP="000E1369">
            <w:pPr>
              <w:ind w:left="57"/>
              <w:rPr>
                <w:rFonts w:ascii="Arial" w:hAnsi="Arial" w:cs="Arial"/>
              </w:rPr>
            </w:pPr>
            <w:r w:rsidRPr="001C0297">
              <w:rPr>
                <w:rFonts w:ascii="Arial" w:hAnsi="Arial" w:cs="Arial"/>
              </w:rPr>
              <w:t>1.2. Сокращенное фирменное наименование эмитента</w:t>
            </w:r>
          </w:p>
        </w:tc>
        <w:tc>
          <w:tcPr>
            <w:tcW w:w="5117" w:type="dxa"/>
          </w:tcPr>
          <w:p w:rsidR="001C0297" w:rsidRPr="001C0297" w:rsidRDefault="001C0297" w:rsidP="00D07931">
            <w:pPr>
              <w:rPr>
                <w:rFonts w:ascii="Arial" w:hAnsi="Arial" w:cs="Arial"/>
              </w:rPr>
            </w:pPr>
            <w:r w:rsidRPr="001C0297">
              <w:rPr>
                <w:rFonts w:ascii="Arial" w:hAnsi="Arial" w:cs="Arial"/>
              </w:rPr>
              <w:t>ОАО «ЯТЭК»</w:t>
            </w:r>
          </w:p>
        </w:tc>
      </w:tr>
      <w:tr w:rsidR="001C0297" w:rsidRPr="001C0297" w:rsidTr="0005604E">
        <w:tc>
          <w:tcPr>
            <w:tcW w:w="5117" w:type="dxa"/>
            <w:vAlign w:val="center"/>
          </w:tcPr>
          <w:p w:rsidR="001C0297" w:rsidRPr="001C0297" w:rsidRDefault="001C0297" w:rsidP="000E1369">
            <w:pPr>
              <w:ind w:left="57"/>
              <w:rPr>
                <w:rFonts w:ascii="Arial" w:hAnsi="Arial" w:cs="Arial"/>
              </w:rPr>
            </w:pPr>
            <w:r w:rsidRPr="001C0297">
              <w:rPr>
                <w:rFonts w:ascii="Arial" w:hAnsi="Arial" w:cs="Arial"/>
              </w:rPr>
              <w:t>1.3. Место нахождения эмитента</w:t>
            </w:r>
          </w:p>
        </w:tc>
        <w:tc>
          <w:tcPr>
            <w:tcW w:w="5117" w:type="dxa"/>
          </w:tcPr>
          <w:p w:rsidR="001C0297" w:rsidRPr="001C0297" w:rsidRDefault="001C0297" w:rsidP="00D07931">
            <w:pPr>
              <w:rPr>
                <w:rFonts w:ascii="Arial" w:hAnsi="Arial" w:cs="Arial"/>
              </w:rPr>
            </w:pPr>
            <w:r w:rsidRPr="001C0297">
              <w:rPr>
                <w:rFonts w:ascii="Arial" w:hAnsi="Arial" w:cs="Arial"/>
              </w:rPr>
              <w:t>678214, Республика Саха (Якутия), Вилюйский улус, п. Кысыл-Сыр, ул. Ленина, 4</w:t>
            </w:r>
          </w:p>
        </w:tc>
      </w:tr>
      <w:tr w:rsidR="001C0297" w:rsidRPr="001C0297" w:rsidTr="0005604E">
        <w:tc>
          <w:tcPr>
            <w:tcW w:w="5117" w:type="dxa"/>
            <w:vAlign w:val="center"/>
          </w:tcPr>
          <w:p w:rsidR="001C0297" w:rsidRPr="001C0297" w:rsidRDefault="001C0297" w:rsidP="000E1369">
            <w:pPr>
              <w:ind w:left="57"/>
              <w:rPr>
                <w:rFonts w:ascii="Arial" w:hAnsi="Arial" w:cs="Arial"/>
              </w:rPr>
            </w:pPr>
            <w:r w:rsidRPr="001C0297">
              <w:rPr>
                <w:rFonts w:ascii="Arial" w:hAnsi="Arial" w:cs="Arial"/>
              </w:rPr>
              <w:t>1.4. ОГРН эмитента</w:t>
            </w:r>
          </w:p>
        </w:tc>
        <w:tc>
          <w:tcPr>
            <w:tcW w:w="5117" w:type="dxa"/>
          </w:tcPr>
          <w:p w:rsidR="001C0297" w:rsidRPr="001C0297" w:rsidRDefault="001C0297" w:rsidP="00D07931">
            <w:pPr>
              <w:rPr>
                <w:rFonts w:ascii="Arial" w:hAnsi="Arial" w:cs="Arial"/>
              </w:rPr>
            </w:pPr>
            <w:r w:rsidRPr="001C0297">
              <w:rPr>
                <w:rFonts w:ascii="Arial" w:hAnsi="Arial" w:cs="Arial"/>
              </w:rPr>
              <w:t>1021401062187</w:t>
            </w:r>
          </w:p>
        </w:tc>
      </w:tr>
      <w:tr w:rsidR="001C0297" w:rsidRPr="001C0297" w:rsidTr="0005604E">
        <w:tc>
          <w:tcPr>
            <w:tcW w:w="5117" w:type="dxa"/>
            <w:vAlign w:val="center"/>
          </w:tcPr>
          <w:p w:rsidR="001C0297" w:rsidRPr="001C0297" w:rsidRDefault="001C0297" w:rsidP="000E1369">
            <w:pPr>
              <w:ind w:left="57"/>
              <w:rPr>
                <w:rFonts w:ascii="Arial" w:hAnsi="Arial" w:cs="Arial"/>
              </w:rPr>
            </w:pPr>
            <w:r w:rsidRPr="001C0297">
              <w:rPr>
                <w:rFonts w:ascii="Arial" w:hAnsi="Arial" w:cs="Arial"/>
              </w:rPr>
              <w:t>1.5. ИНН эмитента</w:t>
            </w:r>
          </w:p>
        </w:tc>
        <w:tc>
          <w:tcPr>
            <w:tcW w:w="5117" w:type="dxa"/>
          </w:tcPr>
          <w:p w:rsidR="001C0297" w:rsidRPr="001C0297" w:rsidRDefault="001C0297" w:rsidP="00D07931">
            <w:pPr>
              <w:rPr>
                <w:rFonts w:ascii="Arial" w:hAnsi="Arial" w:cs="Arial"/>
              </w:rPr>
            </w:pPr>
            <w:r w:rsidRPr="001C0297">
              <w:rPr>
                <w:rFonts w:ascii="Arial" w:hAnsi="Arial" w:cs="Arial"/>
              </w:rPr>
              <w:t>1435032049</w:t>
            </w:r>
          </w:p>
        </w:tc>
      </w:tr>
      <w:tr w:rsidR="001C0297" w:rsidRPr="001C0297" w:rsidTr="0005604E">
        <w:tc>
          <w:tcPr>
            <w:tcW w:w="5117" w:type="dxa"/>
            <w:vAlign w:val="center"/>
          </w:tcPr>
          <w:p w:rsidR="001C0297" w:rsidRPr="001C0297" w:rsidRDefault="001C0297" w:rsidP="000E1369">
            <w:pPr>
              <w:ind w:left="57"/>
              <w:rPr>
                <w:rFonts w:ascii="Arial" w:hAnsi="Arial" w:cs="Arial"/>
              </w:rPr>
            </w:pPr>
            <w:r w:rsidRPr="001C0297">
              <w:rPr>
                <w:rFonts w:ascii="Arial" w:hAnsi="Arial" w:cs="Arial"/>
              </w:rPr>
              <w:t>1.6. Уникальный код эмитента, присвоенный регистрирующим органом</w:t>
            </w:r>
          </w:p>
        </w:tc>
        <w:tc>
          <w:tcPr>
            <w:tcW w:w="5117" w:type="dxa"/>
          </w:tcPr>
          <w:p w:rsidR="001C0297" w:rsidRPr="001C0297" w:rsidRDefault="001C0297" w:rsidP="00D07931">
            <w:pPr>
              <w:rPr>
                <w:rFonts w:ascii="Arial" w:hAnsi="Arial" w:cs="Arial"/>
              </w:rPr>
            </w:pPr>
            <w:r w:rsidRPr="001C0297">
              <w:rPr>
                <w:rFonts w:ascii="Arial" w:hAnsi="Arial" w:cs="Arial"/>
              </w:rPr>
              <w:t>20510-F</w:t>
            </w:r>
          </w:p>
        </w:tc>
      </w:tr>
      <w:tr w:rsidR="001C0297" w:rsidRPr="001C0297" w:rsidTr="0005604E">
        <w:tc>
          <w:tcPr>
            <w:tcW w:w="5117" w:type="dxa"/>
            <w:vAlign w:val="center"/>
          </w:tcPr>
          <w:p w:rsidR="001C0297" w:rsidRPr="001C0297" w:rsidRDefault="001C0297" w:rsidP="000E1369">
            <w:pPr>
              <w:ind w:left="57"/>
              <w:rPr>
                <w:rFonts w:ascii="Arial" w:hAnsi="Arial" w:cs="Arial"/>
              </w:rPr>
            </w:pPr>
            <w:r w:rsidRPr="001C0297">
              <w:rPr>
                <w:rFonts w:ascii="Arial" w:hAnsi="Arial" w:cs="Arial"/>
              </w:rPr>
              <w:t>1.7. Адрес страницы в сети Интернет, используемой эмитентом для раскрытия информации</w:t>
            </w:r>
          </w:p>
        </w:tc>
        <w:tc>
          <w:tcPr>
            <w:tcW w:w="5117" w:type="dxa"/>
          </w:tcPr>
          <w:p w:rsidR="001C0297" w:rsidRPr="001C0297" w:rsidRDefault="001C0297" w:rsidP="00D07931">
            <w:pPr>
              <w:rPr>
                <w:rFonts w:ascii="Arial" w:hAnsi="Arial" w:cs="Arial"/>
              </w:rPr>
            </w:pPr>
            <w:r w:rsidRPr="001C0297">
              <w:rPr>
                <w:rFonts w:ascii="Arial" w:hAnsi="Arial" w:cs="Arial"/>
              </w:rPr>
              <w:t xml:space="preserve">http://www.e-disclosure.ru/portal/company.aspx?id=4994 </w:t>
            </w:r>
          </w:p>
          <w:p w:rsidR="001C0297" w:rsidRPr="001C0297" w:rsidRDefault="001C0297" w:rsidP="00D07931">
            <w:pPr>
              <w:rPr>
                <w:rFonts w:ascii="Arial" w:hAnsi="Arial" w:cs="Arial"/>
              </w:rPr>
            </w:pPr>
            <w:r w:rsidRPr="001C0297">
              <w:rPr>
                <w:rFonts w:ascii="Arial" w:hAnsi="Arial" w:cs="Arial"/>
              </w:rPr>
              <w:t>http://www.yatec.ru/</w:t>
            </w:r>
          </w:p>
        </w:tc>
      </w:tr>
    </w:tbl>
    <w:p w:rsidR="002751FC" w:rsidRPr="001C0297" w:rsidRDefault="002751F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234"/>
      </w:tblGrid>
      <w:tr w:rsidR="002751FC" w:rsidRPr="001C0297">
        <w:trPr>
          <w:cantSplit/>
        </w:trPr>
        <w:tc>
          <w:tcPr>
            <w:tcW w:w="10234" w:type="dxa"/>
            <w:vAlign w:val="bottom"/>
          </w:tcPr>
          <w:p w:rsidR="000E35DA" w:rsidRPr="001C0297" w:rsidRDefault="002751FC" w:rsidP="000E35DA">
            <w:pPr>
              <w:jc w:val="center"/>
              <w:rPr>
                <w:rFonts w:ascii="Arial" w:hAnsi="Arial" w:cs="Arial"/>
              </w:rPr>
            </w:pPr>
            <w:r w:rsidRPr="001C0297">
              <w:rPr>
                <w:rFonts w:ascii="Arial" w:hAnsi="Arial" w:cs="Arial"/>
              </w:rPr>
              <w:t>2. Содержание сообщения</w:t>
            </w:r>
          </w:p>
        </w:tc>
      </w:tr>
      <w:tr w:rsidR="002751FC" w:rsidRPr="001C0297" w:rsidTr="000E35DA">
        <w:trPr>
          <w:trHeight w:val="2583"/>
        </w:trPr>
        <w:tc>
          <w:tcPr>
            <w:tcW w:w="10234" w:type="dxa"/>
          </w:tcPr>
          <w:p w:rsidR="00DF2389" w:rsidRPr="001C0297" w:rsidRDefault="007F4F72" w:rsidP="00725458">
            <w:pPr>
              <w:jc w:val="both"/>
              <w:rPr>
                <w:rFonts w:ascii="Arial" w:hAnsi="Arial" w:cs="Arial"/>
                <w:color w:val="000000"/>
              </w:rPr>
            </w:pPr>
            <w:r w:rsidRPr="001C0297">
              <w:rPr>
                <w:rFonts w:ascii="Arial" w:hAnsi="Arial" w:cs="Arial"/>
              </w:rPr>
              <w:t>2.1. В</w:t>
            </w:r>
            <w:r w:rsidR="00DF2389" w:rsidRPr="001C0297">
              <w:rPr>
                <w:rFonts w:ascii="Arial" w:hAnsi="Arial" w:cs="Arial"/>
              </w:rPr>
              <w:t>ид, категория (тип) и иные идентификационные признаки таких эмиссионных ценных бумаг эмитента;</w:t>
            </w:r>
          </w:p>
          <w:p w:rsidR="001C0297" w:rsidRPr="001C0297" w:rsidRDefault="001C0297" w:rsidP="001C0297">
            <w:pPr>
              <w:tabs>
                <w:tab w:val="left" w:pos="426"/>
              </w:tabs>
              <w:adjustRightInd w:val="0"/>
              <w:ind w:right="113"/>
              <w:jc w:val="both"/>
              <w:outlineLvl w:val="2"/>
              <w:rPr>
                <w:rFonts w:ascii="Arial" w:hAnsi="Arial" w:cs="Arial"/>
                <w:b/>
                <w:bCs/>
              </w:rPr>
            </w:pPr>
            <w:r w:rsidRPr="001C0297">
              <w:rPr>
                <w:rFonts w:ascii="Arial" w:hAnsi="Arial" w:cs="Arial"/>
                <w:b/>
                <w:bCs/>
              </w:rPr>
              <w:t>Облигации неконвертируемые процентные документарные на предъявителя серии 01 с обязательным централизованным хранением в количестве 400 000 (Четыреста тысяч) штук номинальной стоимостью 1 000 (Одна тысяча) рублей каждая общей номинальной стоимостью 400 000 000 (Четыреста миллионов) рублей со сроком погашения в 1092-й (Одна тысяча девяносто второй) день с даты начала размещения облигаций выпуска, с возможностью досрочного погашения по требованию владельцев и по усмотрению эмитента, размещаемые по открытой подписке,</w:t>
            </w:r>
            <w:r w:rsidRPr="001C0297">
              <w:rPr>
                <w:rFonts w:ascii="Arial" w:hAnsi="Arial" w:cs="Arial"/>
                <w:b/>
                <w:bCs/>
                <w:iCs/>
              </w:rPr>
              <w:t xml:space="preserve"> имеющие государственный номер выпуска 4-01-20510-F от 11 октября 2012 года, присвоенный Федеральной службой по финансовым рынкам (далее - Облигации)</w:t>
            </w:r>
          </w:p>
          <w:p w:rsidR="00DF2389" w:rsidRPr="001C0297" w:rsidRDefault="00DF2389" w:rsidP="007F4F72">
            <w:pPr>
              <w:rPr>
                <w:rFonts w:ascii="Arial" w:hAnsi="Arial" w:cs="Arial"/>
              </w:rPr>
            </w:pPr>
          </w:p>
          <w:p w:rsidR="00B85F72" w:rsidRPr="001C0297" w:rsidRDefault="007F4F72" w:rsidP="00B85F72">
            <w:pPr>
              <w:adjustRightInd w:val="0"/>
              <w:jc w:val="both"/>
              <w:rPr>
                <w:rFonts w:ascii="Arial" w:hAnsi="Arial" w:cs="Arial"/>
              </w:rPr>
            </w:pPr>
            <w:r w:rsidRPr="001C0297">
              <w:rPr>
                <w:rFonts w:ascii="Arial" w:hAnsi="Arial" w:cs="Arial"/>
              </w:rPr>
              <w:t xml:space="preserve">2.2. </w:t>
            </w:r>
            <w:r w:rsidR="00D3014C" w:rsidRPr="001C0297">
              <w:rPr>
                <w:rFonts w:ascii="Arial" w:hAnsi="Arial" w:cs="Arial"/>
              </w:rPr>
              <w:t>К</w:t>
            </w:r>
            <w:r w:rsidR="00DF2389" w:rsidRPr="001C0297">
              <w:rPr>
                <w:rFonts w:ascii="Arial" w:hAnsi="Arial" w:cs="Arial"/>
              </w:rPr>
              <w:t>раткое описание события (действия), наступление (совершение) которого, по мнению эмитента, оказывает влияние на стоимос</w:t>
            </w:r>
            <w:r w:rsidR="00B85F72" w:rsidRPr="001C0297">
              <w:rPr>
                <w:rFonts w:ascii="Arial" w:hAnsi="Arial" w:cs="Arial"/>
              </w:rPr>
              <w:t>ть его эмиссионных ценных бумаг:</w:t>
            </w:r>
          </w:p>
          <w:p w:rsidR="00DF2389" w:rsidRPr="001C0297" w:rsidRDefault="00B85F72" w:rsidP="00B85F72">
            <w:pPr>
              <w:adjustRightInd w:val="0"/>
              <w:jc w:val="both"/>
              <w:rPr>
                <w:rFonts w:ascii="Arial" w:hAnsi="Arial" w:cs="Arial"/>
                <w:b/>
              </w:rPr>
            </w:pPr>
            <w:r w:rsidRPr="001C0297">
              <w:rPr>
                <w:rFonts w:ascii="Arial" w:hAnsi="Arial" w:cs="Arial"/>
                <w:b/>
              </w:rPr>
              <w:t>П</w:t>
            </w:r>
            <w:r w:rsidR="00DF2389" w:rsidRPr="001C0297">
              <w:rPr>
                <w:rFonts w:ascii="Arial" w:hAnsi="Arial" w:cs="Arial"/>
                <w:b/>
              </w:rPr>
              <w:t>ринятие уполномоченным органом управления Эмитента решений в отношении эмиссионных ценных бумаг Эмитента.</w:t>
            </w:r>
          </w:p>
          <w:p w:rsidR="00DF2389" w:rsidRPr="001C0297" w:rsidRDefault="00DF2389" w:rsidP="00DF2389">
            <w:pPr>
              <w:adjustRightInd w:val="0"/>
              <w:ind w:firstLine="540"/>
              <w:jc w:val="both"/>
              <w:rPr>
                <w:rFonts w:ascii="Arial" w:hAnsi="Arial" w:cs="Arial"/>
              </w:rPr>
            </w:pPr>
          </w:p>
          <w:p w:rsidR="00DF2389" w:rsidRPr="001C0297" w:rsidRDefault="007F4F72" w:rsidP="00B85F72">
            <w:pPr>
              <w:adjustRightInd w:val="0"/>
              <w:jc w:val="both"/>
              <w:rPr>
                <w:rFonts w:ascii="Arial" w:hAnsi="Arial" w:cs="Arial"/>
              </w:rPr>
            </w:pPr>
            <w:r w:rsidRPr="001C0297">
              <w:rPr>
                <w:rFonts w:ascii="Arial" w:hAnsi="Arial" w:cs="Arial"/>
              </w:rPr>
              <w:t xml:space="preserve">2.3. </w:t>
            </w:r>
            <w:r w:rsidR="00B85F72" w:rsidRPr="001C0297">
              <w:rPr>
                <w:rFonts w:ascii="Arial" w:hAnsi="Arial" w:cs="Arial"/>
              </w:rPr>
              <w:t>В</w:t>
            </w:r>
            <w:r w:rsidR="00DF2389" w:rsidRPr="001C0297">
              <w:rPr>
                <w:rFonts w:ascii="Arial" w:hAnsi="Arial" w:cs="Arial"/>
              </w:rPr>
              <w:t xml:space="preserve"> случае если соответствующее событие (действие) имеет отношение или связано с третьим лицом - полное фирменное наименование (для некоммерческих организаций - наименование), место нахождения, ИНН (если применимо), ОГРН (если применимо) или фамилия, имя, отчество такого лица;</w:t>
            </w:r>
          </w:p>
          <w:p w:rsidR="00DF2389" w:rsidRPr="001C0297" w:rsidRDefault="00DF2389" w:rsidP="00DF2389">
            <w:pPr>
              <w:autoSpaceDE/>
              <w:autoSpaceDN/>
              <w:jc w:val="both"/>
              <w:rPr>
                <w:rFonts w:ascii="Arial" w:hAnsi="Arial" w:cs="Arial"/>
              </w:rPr>
            </w:pPr>
            <w:r w:rsidRPr="001C0297">
              <w:rPr>
                <w:rFonts w:ascii="Arial" w:hAnsi="Arial" w:cs="Arial"/>
                <w:b/>
              </w:rPr>
              <w:t xml:space="preserve">Привести информацию не представляется возможным, информация затрагивает потенциальных инвесторов </w:t>
            </w:r>
            <w:r w:rsidR="00D3014C" w:rsidRPr="001C0297">
              <w:rPr>
                <w:rFonts w:ascii="Arial" w:hAnsi="Arial" w:cs="Arial"/>
                <w:b/>
              </w:rPr>
              <w:t>О</w:t>
            </w:r>
            <w:r w:rsidRPr="001C0297">
              <w:rPr>
                <w:rFonts w:ascii="Arial" w:hAnsi="Arial" w:cs="Arial"/>
                <w:b/>
              </w:rPr>
              <w:t>блигаций Эмитента.</w:t>
            </w:r>
          </w:p>
          <w:p w:rsidR="00B85F72" w:rsidRPr="001C0297" w:rsidRDefault="00B85F72" w:rsidP="00B85F72">
            <w:pPr>
              <w:adjustRightInd w:val="0"/>
              <w:jc w:val="both"/>
              <w:rPr>
                <w:rFonts w:ascii="Arial" w:hAnsi="Arial" w:cs="Arial"/>
              </w:rPr>
            </w:pPr>
          </w:p>
          <w:p w:rsidR="00B85F72" w:rsidRPr="001C0297" w:rsidRDefault="007F4F72" w:rsidP="00B85F72">
            <w:pPr>
              <w:adjustRightInd w:val="0"/>
              <w:jc w:val="both"/>
              <w:rPr>
                <w:rFonts w:ascii="Arial" w:hAnsi="Arial" w:cs="Arial"/>
              </w:rPr>
            </w:pPr>
            <w:r w:rsidRPr="001C0297">
              <w:rPr>
                <w:rFonts w:ascii="Arial" w:hAnsi="Arial" w:cs="Arial"/>
              </w:rPr>
              <w:t xml:space="preserve">2.4. </w:t>
            </w:r>
            <w:r w:rsidR="00B85F72" w:rsidRPr="001C0297">
              <w:rPr>
                <w:rFonts w:ascii="Arial" w:hAnsi="Arial" w:cs="Arial"/>
              </w:rPr>
              <w:t>В</w:t>
            </w:r>
            <w:r w:rsidR="00DF2389" w:rsidRPr="001C0297">
              <w:rPr>
                <w:rFonts w:ascii="Arial" w:hAnsi="Arial" w:cs="Arial"/>
              </w:rPr>
              <w:t xml:space="preserve"> случае если соответствующее событие (действие) имеет отношение или связано с решением, принятым уполномоченным органом управления эмитента или третьего лица, - наименование такого органа управления, дата принятия и содержание принятого решения, дата составления и номер протокола собрания (заседания) уполномоченного органа управления в случае если решение принято коллегиальным органом у</w:t>
            </w:r>
            <w:r w:rsidR="00B85F72" w:rsidRPr="001C0297">
              <w:rPr>
                <w:rFonts w:ascii="Arial" w:hAnsi="Arial" w:cs="Arial"/>
              </w:rPr>
              <w:t xml:space="preserve">правления соответствующего лица: </w:t>
            </w:r>
          </w:p>
          <w:p w:rsidR="00DF2389" w:rsidRPr="001C0297" w:rsidRDefault="00DF2389" w:rsidP="00B85F72">
            <w:pPr>
              <w:adjustRightInd w:val="0"/>
              <w:jc w:val="both"/>
              <w:rPr>
                <w:rFonts w:ascii="Arial" w:hAnsi="Arial" w:cs="Arial"/>
                <w:b/>
              </w:rPr>
            </w:pPr>
            <w:r w:rsidRPr="001C0297">
              <w:rPr>
                <w:rFonts w:ascii="Arial" w:hAnsi="Arial" w:cs="Arial"/>
                <w:b/>
              </w:rPr>
              <w:t>Решение принято</w:t>
            </w:r>
            <w:r w:rsidR="007F4F72" w:rsidRPr="001C0297">
              <w:rPr>
                <w:rFonts w:ascii="Arial" w:hAnsi="Arial" w:cs="Arial"/>
                <w:b/>
              </w:rPr>
              <w:t xml:space="preserve"> Генеральным директором</w:t>
            </w:r>
            <w:r w:rsidRPr="001C0297">
              <w:rPr>
                <w:rFonts w:ascii="Arial" w:hAnsi="Arial" w:cs="Arial"/>
                <w:b/>
              </w:rPr>
              <w:t xml:space="preserve"> </w:t>
            </w:r>
            <w:r w:rsidR="007F4F72" w:rsidRPr="001C0297">
              <w:rPr>
                <w:rFonts w:ascii="Arial" w:hAnsi="Arial" w:cs="Arial"/>
                <w:b/>
              </w:rPr>
              <w:t xml:space="preserve">ОАО </w:t>
            </w:r>
            <w:r w:rsidR="001C0297" w:rsidRPr="001C0297">
              <w:rPr>
                <w:rFonts w:ascii="Arial" w:hAnsi="Arial" w:cs="Arial"/>
                <w:b/>
              </w:rPr>
              <w:t>«ЯТЭК»</w:t>
            </w:r>
            <w:r w:rsidRPr="001C0297">
              <w:rPr>
                <w:rFonts w:ascii="Arial" w:hAnsi="Arial" w:cs="Arial"/>
                <w:b/>
              </w:rPr>
              <w:t xml:space="preserve"> </w:t>
            </w:r>
            <w:r w:rsidR="001C0297" w:rsidRPr="001C0297">
              <w:rPr>
                <w:rFonts w:ascii="Arial" w:hAnsi="Arial" w:cs="Arial"/>
                <w:b/>
              </w:rPr>
              <w:t>25</w:t>
            </w:r>
            <w:r w:rsidR="007F4F72" w:rsidRPr="001C0297">
              <w:rPr>
                <w:rFonts w:ascii="Arial" w:hAnsi="Arial" w:cs="Arial"/>
                <w:b/>
              </w:rPr>
              <w:t xml:space="preserve"> </w:t>
            </w:r>
            <w:r w:rsidR="001C0297" w:rsidRPr="001C0297">
              <w:rPr>
                <w:rFonts w:ascii="Arial" w:hAnsi="Arial" w:cs="Arial"/>
                <w:b/>
              </w:rPr>
              <w:t>октября</w:t>
            </w:r>
            <w:r w:rsidR="007F4F72" w:rsidRPr="001C0297">
              <w:rPr>
                <w:rFonts w:ascii="Arial" w:hAnsi="Arial" w:cs="Arial"/>
                <w:b/>
              </w:rPr>
              <w:t xml:space="preserve"> </w:t>
            </w:r>
            <w:r w:rsidRPr="001C0297">
              <w:rPr>
                <w:rFonts w:ascii="Arial" w:hAnsi="Arial" w:cs="Arial"/>
                <w:b/>
              </w:rPr>
              <w:t>2012 года</w:t>
            </w:r>
            <w:r w:rsidR="00B85F72" w:rsidRPr="001C0297">
              <w:rPr>
                <w:rFonts w:ascii="Arial" w:hAnsi="Arial" w:cs="Arial"/>
                <w:b/>
              </w:rPr>
              <w:t xml:space="preserve">; </w:t>
            </w:r>
          </w:p>
          <w:p w:rsidR="00DF2389" w:rsidRPr="001C0297" w:rsidRDefault="00DF2389" w:rsidP="00DF2389">
            <w:pPr>
              <w:adjustRightInd w:val="0"/>
              <w:ind w:firstLine="540"/>
              <w:jc w:val="both"/>
              <w:rPr>
                <w:rFonts w:ascii="Arial" w:hAnsi="Arial" w:cs="Arial"/>
              </w:rPr>
            </w:pPr>
          </w:p>
          <w:p w:rsidR="007F4F72" w:rsidRPr="001C0297" w:rsidRDefault="006B3EA2" w:rsidP="007F4F72">
            <w:pPr>
              <w:spacing w:before="60" w:after="60"/>
              <w:jc w:val="both"/>
              <w:rPr>
                <w:rFonts w:ascii="Arial" w:hAnsi="Arial" w:cs="Arial"/>
                <w:color w:val="000000"/>
              </w:rPr>
            </w:pPr>
            <w:r w:rsidRPr="006B3EA2">
              <w:rPr>
                <w:rFonts w:ascii="Arial" w:hAnsi="Arial" w:cs="Arial"/>
                <w:bCs/>
              </w:rPr>
              <w:t>Об определении срока для направления оферт с предложением заключить предварительные договоры и иных решений в отношении эмиссионных ценных бумаг Эмитента</w:t>
            </w:r>
            <w:r w:rsidR="007F4F72" w:rsidRPr="001C0297">
              <w:rPr>
                <w:rFonts w:ascii="Arial" w:hAnsi="Arial" w:cs="Arial"/>
                <w:color w:val="000000"/>
              </w:rPr>
              <w:t>:</w:t>
            </w:r>
          </w:p>
          <w:p w:rsidR="001C0297" w:rsidRPr="001C0297" w:rsidRDefault="001C0297" w:rsidP="001C0297">
            <w:pPr>
              <w:pStyle w:val="a3"/>
              <w:numPr>
                <w:ilvl w:val="0"/>
                <w:numId w:val="4"/>
              </w:numPr>
              <w:tabs>
                <w:tab w:val="clear" w:pos="4153"/>
                <w:tab w:val="clear" w:pos="8306"/>
                <w:tab w:val="left" w:pos="284"/>
              </w:tabs>
              <w:autoSpaceDE/>
              <w:autoSpaceDN/>
              <w:ind w:left="0" w:firstLine="0"/>
              <w:jc w:val="both"/>
              <w:outlineLvl w:val="0"/>
              <w:rPr>
                <w:rFonts w:ascii="Arial" w:hAnsi="Arial" w:cs="Arial"/>
              </w:rPr>
            </w:pPr>
            <w:r w:rsidRPr="001C0297">
              <w:rPr>
                <w:rFonts w:ascii="Arial" w:hAnsi="Arial" w:cs="Arial"/>
              </w:rPr>
              <w:t>Определить, что срок для направления оферт с предложением заключить предварительные договоры с потенциальными приобретателями Облигаций, содержащие обязанность заключить в будущем с ними или с действующим в их интересах участником торгов ЗАО «ФБ ММВБ» основные договоры, направленные на отчуждение размещаемых ценных бумаг, начинается 25 октября 2012 года и заканчивается в 15:00 московского времени 26 октября 2012 года.</w:t>
            </w:r>
          </w:p>
          <w:p w:rsidR="001C0297" w:rsidRPr="001C0297" w:rsidRDefault="001C0297" w:rsidP="001C0297">
            <w:pPr>
              <w:pStyle w:val="af2"/>
              <w:tabs>
                <w:tab w:val="left" w:pos="284"/>
              </w:tabs>
              <w:ind w:left="0"/>
              <w:rPr>
                <w:rFonts w:ascii="Arial" w:hAnsi="Arial" w:cs="Arial"/>
                <w:sz w:val="20"/>
                <w:szCs w:val="20"/>
              </w:rPr>
            </w:pPr>
          </w:p>
          <w:p w:rsidR="001C0297" w:rsidRPr="001C0297" w:rsidRDefault="001C0297" w:rsidP="001C0297">
            <w:pPr>
              <w:pStyle w:val="a3"/>
              <w:numPr>
                <w:ilvl w:val="0"/>
                <w:numId w:val="4"/>
              </w:numPr>
              <w:tabs>
                <w:tab w:val="clear" w:pos="4153"/>
                <w:tab w:val="clear" w:pos="8306"/>
                <w:tab w:val="left" w:pos="284"/>
              </w:tabs>
              <w:autoSpaceDE/>
              <w:autoSpaceDN/>
              <w:ind w:left="0" w:firstLine="0"/>
              <w:jc w:val="both"/>
              <w:outlineLvl w:val="0"/>
              <w:rPr>
                <w:rFonts w:ascii="Arial" w:hAnsi="Arial" w:cs="Arial"/>
              </w:rPr>
            </w:pPr>
            <w:r w:rsidRPr="001C0297">
              <w:rPr>
                <w:rFonts w:ascii="Arial" w:hAnsi="Arial" w:cs="Arial"/>
              </w:rPr>
              <w:t>Утвердить текст предложения делать оферты на заключение предварительного договора (Приложение № 1), в соответствии с которым инвестор и Эмитент обязуются заключить в дату начала размещения Облигаций основной договор купли-продажи Облигаций.</w:t>
            </w:r>
          </w:p>
          <w:p w:rsidR="001C0297" w:rsidRPr="001C0297" w:rsidRDefault="001C0297" w:rsidP="001C0297">
            <w:pPr>
              <w:pStyle w:val="af2"/>
              <w:tabs>
                <w:tab w:val="left" w:pos="284"/>
              </w:tabs>
              <w:ind w:left="0"/>
              <w:rPr>
                <w:rFonts w:ascii="Arial" w:hAnsi="Arial" w:cs="Arial"/>
                <w:sz w:val="20"/>
                <w:szCs w:val="20"/>
              </w:rPr>
            </w:pPr>
          </w:p>
          <w:p w:rsidR="001C0297" w:rsidRPr="001C0297" w:rsidRDefault="001C0297" w:rsidP="001C0297">
            <w:pPr>
              <w:pStyle w:val="a3"/>
              <w:numPr>
                <w:ilvl w:val="0"/>
                <w:numId w:val="4"/>
              </w:numPr>
              <w:tabs>
                <w:tab w:val="clear" w:pos="4153"/>
                <w:tab w:val="clear" w:pos="8306"/>
                <w:tab w:val="left" w:pos="284"/>
              </w:tabs>
              <w:autoSpaceDE/>
              <w:autoSpaceDN/>
              <w:ind w:left="0" w:firstLine="0"/>
              <w:jc w:val="both"/>
              <w:outlineLvl w:val="0"/>
              <w:rPr>
                <w:rFonts w:ascii="Arial" w:hAnsi="Arial" w:cs="Arial"/>
              </w:rPr>
            </w:pPr>
            <w:r w:rsidRPr="001C0297">
              <w:rPr>
                <w:rFonts w:ascii="Arial" w:hAnsi="Arial" w:cs="Arial"/>
              </w:rPr>
              <w:t>Утвердить текст оферты на заключение предварительного договора (Приложение № 2), в соответствии с которым инвестор и Эмитент обязуются заключить в дату начала размещения Облигаций основной договор купли-продажи Облигаций.</w:t>
            </w:r>
          </w:p>
          <w:p w:rsidR="001C0297" w:rsidRDefault="001C0297" w:rsidP="001C0297">
            <w:pPr>
              <w:rPr>
                <w:rFonts w:ascii="Arial" w:hAnsi="Arial" w:cs="Arial"/>
              </w:rPr>
            </w:pPr>
          </w:p>
          <w:p w:rsidR="001C0297" w:rsidRPr="001C0297" w:rsidRDefault="001C0297" w:rsidP="001C0297">
            <w:pPr>
              <w:rPr>
                <w:rFonts w:ascii="Arial" w:hAnsi="Arial" w:cs="Arial"/>
                <w:b/>
              </w:rPr>
            </w:pPr>
            <w:r w:rsidRPr="001C0297">
              <w:rPr>
                <w:rFonts w:ascii="Arial" w:hAnsi="Arial" w:cs="Arial"/>
                <w:b/>
              </w:rPr>
              <w:t xml:space="preserve">Приложение 1 </w:t>
            </w:r>
          </w:p>
          <w:p w:rsidR="001C0297" w:rsidRPr="001C0297" w:rsidRDefault="001C0297" w:rsidP="001C0297">
            <w:pPr>
              <w:jc w:val="both"/>
              <w:rPr>
                <w:rFonts w:ascii="Arial" w:hAnsi="Arial" w:cs="Arial"/>
                <w:b/>
                <w:color w:val="000000"/>
              </w:rPr>
            </w:pPr>
          </w:p>
          <w:p w:rsidR="001C0297" w:rsidRPr="001C0297" w:rsidRDefault="001C0297" w:rsidP="001C0297">
            <w:pPr>
              <w:jc w:val="both"/>
              <w:rPr>
                <w:rFonts w:ascii="Arial" w:hAnsi="Arial" w:cs="Arial"/>
                <w:b/>
              </w:rPr>
            </w:pPr>
            <w:r w:rsidRPr="001C0297">
              <w:rPr>
                <w:rFonts w:ascii="Arial" w:hAnsi="Arial" w:cs="Arial"/>
                <w:b/>
              </w:rPr>
              <w:lastRenderedPageBreak/>
              <w:t>Участие в размещении облигаций серии 01</w:t>
            </w:r>
          </w:p>
          <w:p w:rsidR="001C0297" w:rsidRPr="001C0297" w:rsidRDefault="001C0297" w:rsidP="001C0297">
            <w:pPr>
              <w:jc w:val="both"/>
              <w:rPr>
                <w:rFonts w:ascii="Arial" w:hAnsi="Arial" w:cs="Arial"/>
                <w:b/>
              </w:rPr>
            </w:pPr>
            <w:r w:rsidRPr="001C0297">
              <w:rPr>
                <w:rFonts w:ascii="Arial" w:hAnsi="Arial" w:cs="Arial"/>
                <w:b/>
              </w:rPr>
              <w:t>Открытого акционерного общества «Якутская топливно-энергетическая компания»</w:t>
            </w:r>
          </w:p>
          <w:p w:rsidR="001C0297" w:rsidRPr="001C0297" w:rsidRDefault="001C0297" w:rsidP="001C0297">
            <w:pPr>
              <w:jc w:val="both"/>
              <w:rPr>
                <w:rFonts w:ascii="Arial" w:hAnsi="Arial" w:cs="Arial"/>
                <w:b/>
              </w:rPr>
            </w:pPr>
          </w:p>
          <w:p w:rsidR="001C0297" w:rsidRPr="001C0297" w:rsidRDefault="001C0297" w:rsidP="001C0297">
            <w:pPr>
              <w:jc w:val="both"/>
              <w:rPr>
                <w:rFonts w:ascii="Arial" w:hAnsi="Arial" w:cs="Arial"/>
                <w:b/>
              </w:rPr>
            </w:pPr>
            <w:r w:rsidRPr="001C0297">
              <w:rPr>
                <w:rFonts w:ascii="Arial" w:hAnsi="Arial" w:cs="Arial"/>
                <w:b/>
              </w:rPr>
              <w:t xml:space="preserve">ВЛАДЕНИЕ ОБЛИГАЦИЯМИ ИЛИ ДРУГИМИ ФИНАНСОВЫМИ ИНСТРУМЕНТАМИ ВСЕГДА СВЯЗАНО С РИСКАМИ. </w:t>
            </w:r>
          </w:p>
          <w:p w:rsidR="001C0297" w:rsidRPr="001C0297" w:rsidRDefault="001C0297" w:rsidP="001C0297">
            <w:pPr>
              <w:jc w:val="both"/>
              <w:rPr>
                <w:rFonts w:ascii="Arial" w:hAnsi="Arial" w:cs="Arial"/>
                <w:b/>
              </w:rPr>
            </w:pPr>
            <w:r w:rsidRPr="001C0297">
              <w:rPr>
                <w:rFonts w:ascii="Arial" w:hAnsi="Arial" w:cs="Arial"/>
                <w:b/>
              </w:rPr>
              <w:t>Настоящее сообщение носит исключительно информационный характер и содержит неполную и ограниченную информацию об инвестировании в ценные бумаги Открытого акционерного общества «Якутская топливно-энергетическая компания» (далее – Эмитент). Такому инвестированию должно предшествовать взвешенное решение, основанное, среди прочего, на тщательном анализе Эмитента, его аффилированных лиц, операций, финансового состояния, продаж и доходов, состояния российской экономики в целом и других риск-факторов.</w:t>
            </w:r>
          </w:p>
          <w:p w:rsidR="001C0297" w:rsidRPr="001C0297" w:rsidRDefault="001C0297" w:rsidP="001C0297">
            <w:pPr>
              <w:jc w:val="both"/>
              <w:rPr>
                <w:rFonts w:ascii="Arial" w:hAnsi="Arial" w:cs="Arial"/>
              </w:rPr>
            </w:pPr>
          </w:p>
          <w:p w:rsidR="001C0297" w:rsidRPr="001C0297" w:rsidRDefault="001C0297" w:rsidP="001C0297">
            <w:pPr>
              <w:jc w:val="both"/>
              <w:rPr>
                <w:rFonts w:ascii="Arial" w:hAnsi="Arial" w:cs="Arial"/>
              </w:rPr>
            </w:pPr>
            <w:r w:rsidRPr="001C0297">
              <w:rPr>
                <w:rFonts w:ascii="Arial" w:hAnsi="Arial" w:cs="Arial"/>
              </w:rPr>
              <w:t xml:space="preserve">Уважаемый Инвестор, </w:t>
            </w:r>
          </w:p>
          <w:p w:rsidR="001C0297" w:rsidRPr="001C0297" w:rsidRDefault="001C0297" w:rsidP="001C0297">
            <w:pPr>
              <w:jc w:val="both"/>
              <w:rPr>
                <w:rFonts w:ascii="Arial" w:hAnsi="Arial" w:cs="Arial"/>
              </w:rPr>
            </w:pPr>
            <w:r w:rsidRPr="001C0297">
              <w:rPr>
                <w:rFonts w:ascii="Arial" w:hAnsi="Arial" w:cs="Arial"/>
              </w:rPr>
              <w:br/>
              <w:t>настоящим информируем Вас о возможности принять участие в размещении по открытой подписке облигаций неконвертируемых процентных документарных на предъявителя серии 01 Открытого акционерного общества «Якутская топливно-энергетическая компания» с обязательным централизованным хранением в количестве 400 000 (Четыреста тысяч) штук номинальной стоимостью 1 000 (Одна тысяча) рублей каждая общей номинальной стоимостью 400 000 000 (Четыреста миллионов) рублей со сроком погашения в 1092-й (Одна тысяча девяносто второй)  день с даты начала размещения облигаций выпуска (далее - Облигации)</w:t>
            </w:r>
          </w:p>
          <w:p w:rsidR="001C0297" w:rsidRPr="001C0297" w:rsidRDefault="001C0297" w:rsidP="001C0297">
            <w:pPr>
              <w:jc w:val="both"/>
              <w:rPr>
                <w:rFonts w:ascii="Arial" w:hAnsi="Arial" w:cs="Arial"/>
              </w:rPr>
            </w:pPr>
            <w:r w:rsidRPr="001C0297">
              <w:rPr>
                <w:rFonts w:ascii="Arial" w:hAnsi="Arial" w:cs="Arial"/>
              </w:rPr>
              <w:t>Выпуск Облигаций был зарегистрирован Федеральной службой по финансовым рынкам 11 октября 2012 года с присвоением государственного регистрационного номера 4-01-20510-F.</w:t>
            </w:r>
          </w:p>
          <w:p w:rsidR="001C0297" w:rsidRPr="001C0297" w:rsidRDefault="001C0297" w:rsidP="001C0297">
            <w:pPr>
              <w:jc w:val="both"/>
              <w:rPr>
                <w:rFonts w:ascii="Arial" w:hAnsi="Arial" w:cs="Arial"/>
              </w:rPr>
            </w:pPr>
            <w:r w:rsidRPr="001C0297">
              <w:rPr>
                <w:rFonts w:ascii="Arial" w:hAnsi="Arial" w:cs="Arial"/>
              </w:rPr>
              <w:t xml:space="preserve">Размещение Облигаций будет происходить путем совершения сделок купли-продажи Облигаций с использованием системы торгов ЗАО «ФБ ММВБ». </w:t>
            </w:r>
          </w:p>
          <w:p w:rsidR="001C0297" w:rsidRPr="001C0297" w:rsidRDefault="001C0297" w:rsidP="001C0297">
            <w:pPr>
              <w:jc w:val="both"/>
              <w:rPr>
                <w:rFonts w:ascii="Arial" w:hAnsi="Arial" w:cs="Arial"/>
              </w:rPr>
            </w:pPr>
            <w:r w:rsidRPr="001C0297">
              <w:rPr>
                <w:rFonts w:ascii="Arial" w:hAnsi="Arial" w:cs="Arial"/>
              </w:rPr>
              <w:t xml:space="preserve">Облигации могут быть оплачены только денежными средствами в валюте Российской Федерации. </w:t>
            </w:r>
          </w:p>
          <w:p w:rsidR="001C0297" w:rsidRPr="001C0297" w:rsidRDefault="001C0297" w:rsidP="001C0297">
            <w:pPr>
              <w:jc w:val="both"/>
              <w:rPr>
                <w:rFonts w:ascii="Arial" w:hAnsi="Arial" w:cs="Arial"/>
              </w:rPr>
            </w:pPr>
            <w:r w:rsidRPr="001C0297">
              <w:rPr>
                <w:rFonts w:ascii="Arial" w:hAnsi="Arial" w:cs="Arial"/>
              </w:rPr>
              <w:t>Дата начала размещения устанавливается (определяется) в соответствии с Решением о выпуске ценных бумаг и Проспектом ценных бумаг, Совета директоров Открытого акционерного общества «Якутская топливно-энергетическая компания», принятым  «28» июня 2012 года, Протокол от «28» июня 2012 года № б/н  (далее – Эмиссионные Документы).</w:t>
            </w:r>
          </w:p>
          <w:p w:rsidR="001C0297" w:rsidRPr="001C0297" w:rsidRDefault="001C0297" w:rsidP="001C0297">
            <w:pPr>
              <w:jc w:val="both"/>
              <w:rPr>
                <w:rFonts w:ascii="Arial" w:hAnsi="Arial" w:cs="Arial"/>
              </w:rPr>
            </w:pPr>
            <w:r w:rsidRPr="001C0297">
              <w:rPr>
                <w:rFonts w:ascii="Arial" w:hAnsi="Arial" w:cs="Arial"/>
              </w:rPr>
              <w:t>Профессиональным участником рынка ценных бумаг, оказывающим Эмитенту услуги по организации размещения Облигаций и услуги по размещению Облигаций (заключению сделок по продаже Облигаций за счет Эмитента их первым приобретателям), является Открытое акционерное общество Банк «ОТКРЫТИЕ» (далее также - ОТКРЫТИЕ).</w:t>
            </w:r>
          </w:p>
          <w:p w:rsidR="001C0297" w:rsidRPr="001C0297" w:rsidRDefault="001C0297" w:rsidP="001C0297">
            <w:pPr>
              <w:jc w:val="both"/>
              <w:rPr>
                <w:rFonts w:ascii="Arial" w:hAnsi="Arial" w:cs="Arial"/>
              </w:rPr>
            </w:pPr>
          </w:p>
          <w:p w:rsidR="001C0297" w:rsidRPr="001C0297" w:rsidRDefault="001C0297" w:rsidP="001C0297">
            <w:pPr>
              <w:jc w:val="both"/>
              <w:rPr>
                <w:rFonts w:ascii="Arial" w:hAnsi="Arial" w:cs="Arial"/>
              </w:rPr>
            </w:pPr>
            <w:r w:rsidRPr="001C0297">
              <w:rPr>
                <w:rFonts w:ascii="Arial" w:hAnsi="Arial" w:cs="Arial"/>
              </w:rPr>
              <w:t>Настоящее сообщение является предложением делать оферты и не является офертой.</w:t>
            </w:r>
          </w:p>
          <w:p w:rsidR="001C0297" w:rsidRPr="001C0297" w:rsidRDefault="001C0297" w:rsidP="001C0297">
            <w:pPr>
              <w:jc w:val="both"/>
              <w:rPr>
                <w:rFonts w:ascii="Arial" w:hAnsi="Arial" w:cs="Arial"/>
              </w:rPr>
            </w:pPr>
          </w:p>
          <w:p w:rsidR="001C0297" w:rsidRPr="001C0297" w:rsidRDefault="001C0297" w:rsidP="001C0297">
            <w:pPr>
              <w:jc w:val="both"/>
              <w:rPr>
                <w:rFonts w:ascii="Arial" w:hAnsi="Arial" w:cs="Arial"/>
              </w:rPr>
            </w:pPr>
            <w:r w:rsidRPr="001C0297">
              <w:rPr>
                <w:rFonts w:ascii="Arial" w:hAnsi="Arial" w:cs="Arial"/>
              </w:rPr>
              <w:t>В случае Вашей заинтересованности, Вы можете принять участие в размещении, сделав в установленном ниже порядке предложение (оферту) о заключении предварительного договора о покупке Вами Облигаций (далее – Предложение) по установленной форме, указав при этом максимальную общую сумму в рублях Российской Федерации, на которую Вы желаете и готовы приобрести Облигации, а также минимальную ставку купона по Облигациям, при которой Вы желаете и готовы приобрести Облигации на указанную сумму.</w:t>
            </w:r>
          </w:p>
          <w:p w:rsidR="001C0297" w:rsidRPr="001C0297" w:rsidRDefault="001C0297" w:rsidP="001C0297">
            <w:pPr>
              <w:jc w:val="both"/>
              <w:rPr>
                <w:rFonts w:ascii="Arial" w:hAnsi="Arial" w:cs="Arial"/>
              </w:rPr>
            </w:pPr>
            <w:r w:rsidRPr="001C0297">
              <w:rPr>
                <w:rFonts w:ascii="Arial" w:hAnsi="Arial" w:cs="Arial"/>
              </w:rPr>
              <w:br/>
              <w:t>Предложение является Вашей офертой заключить Предварительный договор, как этот термин определен в п.8.3 Решения о выпуске ценных бумаг.</w:t>
            </w:r>
          </w:p>
          <w:p w:rsidR="001C0297" w:rsidRPr="001C0297" w:rsidRDefault="001C0297" w:rsidP="001C0297">
            <w:pPr>
              <w:jc w:val="both"/>
              <w:rPr>
                <w:rFonts w:ascii="Arial" w:hAnsi="Arial" w:cs="Arial"/>
              </w:rPr>
            </w:pPr>
            <w:r w:rsidRPr="001C0297">
              <w:rPr>
                <w:rFonts w:ascii="Arial" w:hAnsi="Arial" w:cs="Arial"/>
              </w:rPr>
              <w:br/>
              <w:t>Для целей соблюдения требований к порядку размещения Облигаций Эмитент и ОАО Банк «ОТКРЫТИЕ» рассматривают только те Предложения, которые были составлены надлежащим образом по установленной форме и подписаны надлежащим образом уполномоченным лицом, а также поступили в ОАО Банк «ОТКРЫТИЕ» в порядке и с соблюдением условий, изложенных в настоящем сообщении.</w:t>
            </w:r>
          </w:p>
          <w:p w:rsidR="001C0297" w:rsidRPr="001C0297" w:rsidRDefault="001C0297" w:rsidP="001C0297">
            <w:pPr>
              <w:jc w:val="both"/>
              <w:rPr>
                <w:rFonts w:ascii="Arial" w:hAnsi="Arial" w:cs="Arial"/>
              </w:rPr>
            </w:pPr>
          </w:p>
          <w:p w:rsidR="001C0297" w:rsidRPr="001C0297" w:rsidRDefault="001C0297" w:rsidP="001C0297">
            <w:pPr>
              <w:jc w:val="both"/>
              <w:rPr>
                <w:rFonts w:ascii="Arial" w:hAnsi="Arial" w:cs="Arial"/>
              </w:rPr>
            </w:pPr>
            <w:r w:rsidRPr="001C0297">
              <w:rPr>
                <w:rFonts w:ascii="Arial" w:hAnsi="Arial" w:cs="Arial"/>
              </w:rPr>
              <w:t>Предложение должно быть направлено в ОТКРЫТИЕ по следующим контактным реквизитам:</w:t>
            </w:r>
          </w:p>
          <w:p w:rsidR="001C0297" w:rsidRPr="001C0297" w:rsidRDefault="001C0297" w:rsidP="001C0297">
            <w:pPr>
              <w:jc w:val="both"/>
              <w:rPr>
                <w:rFonts w:ascii="Arial" w:hAnsi="Arial" w:cs="Arial"/>
              </w:rPr>
            </w:pPr>
            <w:r w:rsidRPr="001C0297">
              <w:rPr>
                <w:rFonts w:ascii="Arial" w:hAnsi="Arial" w:cs="Arial"/>
              </w:rPr>
              <w:t>Открытое акционерное общество Банк «ОТКРЫТИЕ»</w:t>
            </w:r>
          </w:p>
          <w:p w:rsidR="001C0297" w:rsidRPr="001C0297" w:rsidRDefault="001C0297" w:rsidP="001C0297">
            <w:pPr>
              <w:jc w:val="both"/>
              <w:rPr>
                <w:rFonts w:ascii="Arial" w:hAnsi="Arial" w:cs="Arial"/>
              </w:rPr>
            </w:pPr>
            <w:r w:rsidRPr="001C0297">
              <w:rPr>
                <w:rFonts w:ascii="Arial" w:hAnsi="Arial" w:cs="Arial"/>
              </w:rPr>
              <w:t xml:space="preserve">Адрес для направления почтовой корреспонденции: </w:t>
            </w:r>
          </w:p>
          <w:p w:rsidR="001C0297" w:rsidRPr="001C0297" w:rsidRDefault="001C0297" w:rsidP="001C0297">
            <w:pPr>
              <w:jc w:val="both"/>
              <w:rPr>
                <w:rFonts w:ascii="Arial" w:hAnsi="Arial" w:cs="Arial"/>
              </w:rPr>
            </w:pPr>
            <w:r w:rsidRPr="001C0297">
              <w:rPr>
                <w:rFonts w:ascii="Arial" w:hAnsi="Arial" w:cs="Arial"/>
              </w:rPr>
              <w:t>115114, г. Москва, ул. Летниковская, д.2, стр.4</w:t>
            </w:r>
          </w:p>
          <w:p w:rsidR="001C0297" w:rsidRPr="001C0297" w:rsidRDefault="001C0297" w:rsidP="001C0297">
            <w:pPr>
              <w:jc w:val="both"/>
              <w:rPr>
                <w:rFonts w:ascii="Arial" w:hAnsi="Arial" w:cs="Arial"/>
              </w:rPr>
            </w:pPr>
            <w:r w:rsidRPr="001C0297">
              <w:rPr>
                <w:rFonts w:ascii="Arial" w:hAnsi="Arial" w:cs="Arial"/>
              </w:rPr>
              <w:t xml:space="preserve">Вниманию Дмитрия Дергачева; </w:t>
            </w:r>
          </w:p>
          <w:p w:rsidR="001C0297" w:rsidRPr="001C0297" w:rsidRDefault="001C0297" w:rsidP="001C0297">
            <w:pPr>
              <w:jc w:val="both"/>
              <w:rPr>
                <w:rFonts w:ascii="Arial" w:hAnsi="Arial" w:cs="Arial"/>
              </w:rPr>
            </w:pPr>
            <w:r w:rsidRPr="001C0297">
              <w:rPr>
                <w:rFonts w:ascii="Arial" w:hAnsi="Arial" w:cs="Arial"/>
              </w:rPr>
              <w:t xml:space="preserve">Тел: +7 (495) 777 56 11; </w:t>
            </w:r>
          </w:p>
          <w:p w:rsidR="001C0297" w:rsidRPr="001C0297" w:rsidRDefault="001C0297" w:rsidP="001C0297">
            <w:pPr>
              <w:jc w:val="both"/>
              <w:rPr>
                <w:rFonts w:ascii="Arial" w:hAnsi="Arial" w:cs="Arial"/>
              </w:rPr>
            </w:pPr>
            <w:r w:rsidRPr="001C0297">
              <w:rPr>
                <w:rFonts w:ascii="Arial" w:hAnsi="Arial" w:cs="Arial"/>
              </w:rPr>
              <w:t xml:space="preserve">Факс: +7 (495) 777-56-14; </w:t>
            </w:r>
          </w:p>
          <w:p w:rsidR="001C0297" w:rsidRPr="001C0297" w:rsidRDefault="001C0297" w:rsidP="001C0297">
            <w:pPr>
              <w:jc w:val="both"/>
              <w:rPr>
                <w:rFonts w:ascii="Arial" w:hAnsi="Arial" w:cs="Arial"/>
              </w:rPr>
            </w:pPr>
            <w:r w:rsidRPr="001C0297">
              <w:rPr>
                <w:rFonts w:ascii="Arial" w:hAnsi="Arial" w:cs="Arial"/>
              </w:rPr>
              <w:t xml:space="preserve">е-mail: </w:t>
            </w:r>
            <w:hyperlink r:id="rId7" w:history="1">
              <w:r w:rsidRPr="001C0297">
                <w:rPr>
                  <w:rStyle w:val="af1"/>
                  <w:rFonts w:ascii="Arial" w:hAnsi="Arial" w:cs="Arial"/>
                </w:rPr>
                <w:t>sales@open.ru</w:t>
              </w:r>
            </w:hyperlink>
          </w:p>
          <w:p w:rsidR="001C0297" w:rsidRPr="001C0297" w:rsidRDefault="001C0297" w:rsidP="001C0297">
            <w:pPr>
              <w:jc w:val="both"/>
              <w:rPr>
                <w:rFonts w:ascii="Arial" w:hAnsi="Arial" w:cs="Arial"/>
              </w:rPr>
            </w:pPr>
            <w:r w:rsidRPr="001C0297">
              <w:rPr>
                <w:rFonts w:ascii="Arial" w:hAnsi="Arial" w:cs="Arial"/>
              </w:rPr>
              <w:t xml:space="preserve">Оригинал Предложения, направленный ранее по вышеуказанному номеру факса и/или по адресу электронной почты должен быть доставлен по адресу для направления почтовой корреспонденции ОТКРЫТИЯ в течение 3 (Трех) рабочих дней с момента направления Предложения по факсу и/или по адресу электронной почты. </w:t>
            </w:r>
          </w:p>
          <w:p w:rsidR="001C0297" w:rsidRPr="001C0297" w:rsidRDefault="001C0297" w:rsidP="001C0297">
            <w:pPr>
              <w:jc w:val="both"/>
              <w:rPr>
                <w:rFonts w:ascii="Arial" w:hAnsi="Arial" w:cs="Arial"/>
              </w:rPr>
            </w:pPr>
          </w:p>
          <w:p w:rsidR="001C0297" w:rsidRPr="001C0297" w:rsidRDefault="001C0297" w:rsidP="001C0297">
            <w:pPr>
              <w:jc w:val="both"/>
              <w:rPr>
                <w:rFonts w:ascii="Arial" w:hAnsi="Arial" w:cs="Arial"/>
              </w:rPr>
            </w:pPr>
            <w:r w:rsidRPr="001C0297">
              <w:rPr>
                <w:rFonts w:ascii="Arial" w:hAnsi="Arial" w:cs="Arial"/>
              </w:rPr>
              <w:t xml:space="preserve">Предложение, направляемое юридическим лицом, должно быть выполнено на бланке такого юридического </w:t>
            </w:r>
            <w:r w:rsidRPr="001C0297">
              <w:rPr>
                <w:rFonts w:ascii="Arial" w:hAnsi="Arial" w:cs="Arial"/>
              </w:rPr>
              <w:lastRenderedPageBreak/>
              <w:t>лица и скреплено его печатью.</w:t>
            </w:r>
          </w:p>
          <w:p w:rsidR="001C0297" w:rsidRPr="001C0297" w:rsidRDefault="001C0297" w:rsidP="001C0297">
            <w:pPr>
              <w:jc w:val="both"/>
              <w:rPr>
                <w:rFonts w:ascii="Arial" w:hAnsi="Arial" w:cs="Arial"/>
              </w:rPr>
            </w:pPr>
            <w:r w:rsidRPr="001C0297">
              <w:rPr>
                <w:rFonts w:ascii="Arial" w:hAnsi="Arial" w:cs="Arial"/>
              </w:rPr>
              <w:br/>
              <w:t>Предложение может быть направлено в срок - с «25» октября 2012 г. до 15:00 московского времени «26» октября 2012 г. (далее – Время Закрытия Книги) и не может быть отозвано после наступления Времени Закрытия Книги.</w:t>
            </w:r>
          </w:p>
          <w:p w:rsidR="001C0297" w:rsidRPr="001C0297" w:rsidRDefault="001C0297" w:rsidP="001C0297">
            <w:pPr>
              <w:jc w:val="both"/>
              <w:rPr>
                <w:rFonts w:ascii="Arial" w:hAnsi="Arial" w:cs="Arial"/>
              </w:rPr>
            </w:pPr>
            <w:r w:rsidRPr="001C0297">
              <w:rPr>
                <w:rFonts w:ascii="Arial" w:hAnsi="Arial" w:cs="Arial"/>
              </w:rPr>
              <w:br/>
              <w:t>Во избежание недопонимания и каких-либо сомнений, особо обращаем Ваше внимание, что получение ОТКРЫТИЕМ Вашего Предложения не означает, что оно будет акцептовано. Ни Эмитент, ни ОТКРЫТИЕ, не принимают на себя никаких обязательств и не дают никаких заверений или гарантий относительно того, что Ваше Предложение будет акцептовано полностью или в какой-либо части.</w:t>
            </w:r>
          </w:p>
          <w:p w:rsidR="001C0297" w:rsidRPr="001C0297" w:rsidRDefault="001C0297" w:rsidP="001C0297">
            <w:pPr>
              <w:jc w:val="both"/>
              <w:rPr>
                <w:rFonts w:ascii="Arial" w:hAnsi="Arial" w:cs="Arial"/>
              </w:rPr>
            </w:pPr>
            <w:r w:rsidRPr="001C0297">
              <w:rPr>
                <w:rFonts w:ascii="Arial" w:hAnsi="Arial" w:cs="Arial"/>
              </w:rPr>
              <w:br/>
              <w:t>После определения уполномоченным органом управления Эмитента процентной ставки по первому купону по Облигациям Эмитент принимает решение об акцепте или отклонении Вашего Предложения. Только в случае, если Эмитентом будет принято решение об акцепте Вашего Предложения ОТКРЫТИЕ, действуя в качестве поверенного от имени и за счет Эмитента, либо в качестве комиссионера от своего имени и за счет Эмитента, направит Вам с курьером, заказным письмом с уведомлением или по факсу, указанному Вами в Предложении, письменное уведомление об акцепте (далее – Уведомление об Акцепте) Вашего Предложения. В случае направления Уведомления об Акцепте по факсу, оно считается полученным Вами в момент его отправки. В случае если Эмитентом будет принято решение об отклонении Вашего Предложения, или по нему не будет принято какое-либо решение ОТКРЫТИЕ не будет направлять Вам уведомление об этом. При этом тот факт, что Вам не будет направлено такое Уведомление, не означает, что Ваше Предложение было акцептовано (молчание не является акцептом).</w:t>
            </w:r>
          </w:p>
          <w:p w:rsidR="001C0297" w:rsidRPr="001C0297" w:rsidRDefault="001C0297" w:rsidP="001C0297">
            <w:pPr>
              <w:jc w:val="both"/>
              <w:rPr>
                <w:rFonts w:ascii="Arial" w:hAnsi="Arial" w:cs="Arial"/>
                <w:b/>
              </w:rPr>
            </w:pPr>
            <w:r w:rsidRPr="001C0297">
              <w:rPr>
                <w:rFonts w:ascii="Arial" w:hAnsi="Arial" w:cs="Arial"/>
              </w:rPr>
              <w:br/>
            </w:r>
            <w:r w:rsidRPr="001C0297">
              <w:rPr>
                <w:rFonts w:ascii="Arial" w:hAnsi="Arial" w:cs="Arial"/>
                <w:b/>
              </w:rPr>
              <w:t>ВНИМАНИЕ! Акцепт Вашего Предложения означает заключение между Вами и Эмитентом Предварительного договора, в соответствии с которым Вы и Эмитент обязуетесь заключить в дату начала размещения Облигаций основной договор купли-продажи Облигаций (далее – Основной договор) на следующих условиях: Эмитент обязуется продать Вам, а Вы обязуетесь приобрести у Эмитента (или назначенного Эмитентом комиссионера, поверенного или другого агента) и оплатить Облигации в количестве, по цене размещения и с процентной ставкой по первому купону, указанным в Уведомлении об Акцепте. При этом количество Облигаций, указанное в Уведомлении об Акцепте, будет зависеть от цены размещения, величины процентной ставки по первому купону и рыночного спроса на Облигации. Ваше Предложение может быть акцептовано полностью или в части. Если Ваше Предложение будет акцептовано в части, Предварительный договор считается заключенным только в отношении такой части Вашего Предложения, которая будет указана в Уведомлении об Акцепте. Порядок заключения Основного договора (Порядок размещения Облигаций), дата начала размещения Облигаций, цена размещения, процентная ставка по первому купону по Облигациям и порядок проведения расчетов устанавливаются (определяются) в соответствии с Эмиссионными Документами.</w:t>
            </w:r>
          </w:p>
          <w:p w:rsidR="001C0297" w:rsidRPr="001C0297" w:rsidRDefault="001C0297" w:rsidP="001C0297">
            <w:pPr>
              <w:jc w:val="both"/>
              <w:rPr>
                <w:rFonts w:ascii="Arial" w:hAnsi="Arial" w:cs="Arial"/>
              </w:rPr>
            </w:pPr>
            <w:r w:rsidRPr="001C0297">
              <w:rPr>
                <w:rFonts w:ascii="Arial" w:hAnsi="Arial" w:cs="Arial"/>
              </w:rPr>
              <w:br/>
              <w:t>Настоящее сообщение, Предложение и Уведомление об Акцепте (при его наличии) составляют неотъемлемую часть Предварительного договора.</w:t>
            </w:r>
          </w:p>
          <w:p w:rsidR="001C0297" w:rsidRPr="001C0297" w:rsidRDefault="001C0297" w:rsidP="001C0297">
            <w:pPr>
              <w:jc w:val="both"/>
              <w:rPr>
                <w:rFonts w:ascii="Arial" w:hAnsi="Arial" w:cs="Arial"/>
              </w:rPr>
            </w:pPr>
            <w:r w:rsidRPr="001C0297">
              <w:rPr>
                <w:rFonts w:ascii="Arial" w:hAnsi="Arial" w:cs="Arial"/>
              </w:rPr>
              <w:br/>
              <w:t>Все споры, связанные с заключением Предварительного договора, его действительностью и исполнением, разрешаются в Арбитражном суде г. Москвы.</w:t>
            </w:r>
          </w:p>
          <w:p w:rsidR="001C0297" w:rsidRPr="001C0297" w:rsidRDefault="001C0297" w:rsidP="001C0297">
            <w:pPr>
              <w:jc w:val="both"/>
              <w:rPr>
                <w:rFonts w:ascii="Arial" w:hAnsi="Arial" w:cs="Arial"/>
              </w:rPr>
            </w:pPr>
            <w:r w:rsidRPr="001C0297">
              <w:rPr>
                <w:rFonts w:ascii="Arial" w:hAnsi="Arial" w:cs="Arial"/>
              </w:rPr>
              <w:br/>
              <w:t>С уважением,</w:t>
            </w:r>
          </w:p>
          <w:p w:rsidR="001C0297" w:rsidRPr="001C0297" w:rsidRDefault="001C0297" w:rsidP="001C0297">
            <w:pPr>
              <w:rPr>
                <w:rFonts w:ascii="Arial" w:hAnsi="Arial" w:cs="Arial"/>
              </w:rPr>
            </w:pPr>
            <w:r w:rsidRPr="001C0297">
              <w:rPr>
                <w:rFonts w:ascii="Arial" w:hAnsi="Arial" w:cs="Arial"/>
              </w:rPr>
              <w:t>Генеральный директор ОАО «ЯТЭК»</w:t>
            </w:r>
            <w:r w:rsidRPr="001C0297">
              <w:rPr>
                <w:rFonts w:ascii="Arial" w:hAnsi="Arial" w:cs="Arial"/>
              </w:rPr>
              <w:tab/>
            </w:r>
            <w:r w:rsidRPr="001C0297">
              <w:rPr>
                <w:rFonts w:ascii="Arial" w:hAnsi="Arial" w:cs="Arial"/>
              </w:rPr>
              <w:tab/>
              <w:t>_____________________</w:t>
            </w:r>
            <w:r w:rsidRPr="001C0297">
              <w:rPr>
                <w:rFonts w:ascii="Arial" w:hAnsi="Arial" w:cs="Arial"/>
              </w:rPr>
              <w:tab/>
            </w:r>
            <w:r w:rsidRPr="001C0297">
              <w:rPr>
                <w:rFonts w:ascii="Arial" w:hAnsi="Arial" w:cs="Arial"/>
              </w:rPr>
              <w:tab/>
              <w:t>З.К.Юсупов</w:t>
            </w:r>
          </w:p>
          <w:p w:rsidR="001C0297" w:rsidRPr="001C0297" w:rsidRDefault="001C0297" w:rsidP="001C0297">
            <w:pPr>
              <w:jc w:val="both"/>
              <w:rPr>
                <w:rFonts w:ascii="Arial" w:hAnsi="Arial" w:cs="Arial"/>
                <w:b/>
              </w:rPr>
            </w:pPr>
          </w:p>
          <w:p w:rsidR="001C0297" w:rsidRPr="001C0297" w:rsidRDefault="001C0297" w:rsidP="001C0297">
            <w:pPr>
              <w:pageBreakBefore/>
              <w:jc w:val="right"/>
              <w:rPr>
                <w:rFonts w:ascii="Arial" w:hAnsi="Arial" w:cs="Arial"/>
                <w:b/>
              </w:rPr>
            </w:pPr>
            <w:r w:rsidRPr="001C0297">
              <w:rPr>
                <w:rFonts w:ascii="Arial" w:hAnsi="Arial" w:cs="Arial"/>
                <w:b/>
              </w:rPr>
              <w:t xml:space="preserve">Приложение 2 </w:t>
            </w:r>
          </w:p>
          <w:p w:rsidR="001C0297" w:rsidRPr="001C0297" w:rsidRDefault="001C0297" w:rsidP="001C0297">
            <w:pPr>
              <w:jc w:val="right"/>
              <w:rPr>
                <w:rFonts w:ascii="Arial" w:hAnsi="Arial" w:cs="Arial"/>
                <w:b/>
              </w:rPr>
            </w:pPr>
          </w:p>
          <w:p w:rsidR="001C0297" w:rsidRPr="001C0297" w:rsidRDefault="001C0297" w:rsidP="001C0297">
            <w:pPr>
              <w:jc w:val="center"/>
              <w:rPr>
                <w:rFonts w:ascii="Arial" w:hAnsi="Arial" w:cs="Arial"/>
              </w:rPr>
            </w:pPr>
            <w:r w:rsidRPr="001C0297">
              <w:rPr>
                <w:rFonts w:ascii="Arial" w:hAnsi="Arial" w:cs="Arial"/>
              </w:rPr>
              <w:t>[НА БЛАНКЕ ИНВЕСТОРА]</w:t>
            </w:r>
          </w:p>
          <w:p w:rsidR="001C0297" w:rsidRPr="001C0297" w:rsidRDefault="001C0297" w:rsidP="001C0297">
            <w:pPr>
              <w:jc w:val="center"/>
              <w:rPr>
                <w:rFonts w:ascii="Arial" w:hAnsi="Arial" w:cs="Arial"/>
              </w:rPr>
            </w:pPr>
            <w:r w:rsidRPr="001C0297">
              <w:rPr>
                <w:rFonts w:ascii="Arial" w:hAnsi="Arial" w:cs="Arial"/>
              </w:rPr>
              <w:t>(для юридических лиц)</w:t>
            </w:r>
          </w:p>
          <w:p w:rsidR="001C0297" w:rsidRPr="001C0297" w:rsidRDefault="001C0297" w:rsidP="001C0297">
            <w:pPr>
              <w:ind w:firstLine="567"/>
              <w:jc w:val="right"/>
              <w:rPr>
                <w:rFonts w:ascii="Arial" w:hAnsi="Arial" w:cs="Arial"/>
              </w:rPr>
            </w:pPr>
            <w:r w:rsidRPr="001C0297">
              <w:rPr>
                <w:rFonts w:ascii="Arial" w:hAnsi="Arial" w:cs="Arial"/>
              </w:rPr>
              <w:t>Дата:___________________</w:t>
            </w:r>
          </w:p>
          <w:p w:rsidR="001C0297" w:rsidRPr="001C0297" w:rsidRDefault="001C0297" w:rsidP="001C0297">
            <w:pPr>
              <w:ind w:firstLine="567"/>
              <w:jc w:val="right"/>
              <w:rPr>
                <w:rFonts w:ascii="Arial" w:hAnsi="Arial" w:cs="Arial"/>
              </w:rPr>
            </w:pPr>
            <w:r w:rsidRPr="001C0297">
              <w:rPr>
                <w:rFonts w:ascii="Arial" w:hAnsi="Arial" w:cs="Arial"/>
              </w:rPr>
              <w:t>Открытое акционерное общество Банк «ОТКРЫТИЕ»</w:t>
            </w:r>
          </w:p>
          <w:p w:rsidR="001C0297" w:rsidRPr="001C0297" w:rsidRDefault="001C0297" w:rsidP="001C0297">
            <w:pPr>
              <w:ind w:firstLine="567"/>
              <w:jc w:val="right"/>
              <w:rPr>
                <w:rFonts w:ascii="Arial" w:hAnsi="Arial" w:cs="Arial"/>
              </w:rPr>
            </w:pPr>
            <w:r w:rsidRPr="001C0297">
              <w:rPr>
                <w:rFonts w:ascii="Arial" w:hAnsi="Arial" w:cs="Arial"/>
              </w:rPr>
              <w:t>115114, г. Москва, ул. Летниковская, д.2, стр.4</w:t>
            </w:r>
          </w:p>
          <w:p w:rsidR="001C0297" w:rsidRPr="001C0297" w:rsidRDefault="001C0297" w:rsidP="001C0297">
            <w:pPr>
              <w:ind w:firstLine="567"/>
              <w:jc w:val="right"/>
              <w:rPr>
                <w:rFonts w:ascii="Arial" w:hAnsi="Arial" w:cs="Arial"/>
              </w:rPr>
            </w:pPr>
            <w:r w:rsidRPr="001C0297">
              <w:rPr>
                <w:rFonts w:ascii="Arial" w:hAnsi="Arial" w:cs="Arial"/>
              </w:rPr>
              <w:t xml:space="preserve">Вниманию Дмитрия Дергачева; </w:t>
            </w:r>
          </w:p>
          <w:p w:rsidR="001C0297" w:rsidRPr="001C0297" w:rsidRDefault="001C0297" w:rsidP="001C0297">
            <w:pPr>
              <w:ind w:firstLine="567"/>
              <w:jc w:val="right"/>
              <w:rPr>
                <w:rFonts w:ascii="Arial" w:hAnsi="Arial" w:cs="Arial"/>
              </w:rPr>
            </w:pPr>
            <w:r w:rsidRPr="001C0297">
              <w:rPr>
                <w:rFonts w:ascii="Arial" w:hAnsi="Arial" w:cs="Arial"/>
              </w:rPr>
              <w:t xml:space="preserve">Факс: +7 (495) 777-56-14; </w:t>
            </w:r>
          </w:p>
          <w:p w:rsidR="001C0297" w:rsidRPr="001C0297" w:rsidRDefault="001C0297" w:rsidP="001C0297">
            <w:pPr>
              <w:ind w:firstLine="567"/>
              <w:jc w:val="right"/>
              <w:rPr>
                <w:rFonts w:ascii="Arial" w:hAnsi="Arial" w:cs="Arial"/>
              </w:rPr>
            </w:pPr>
            <w:r w:rsidRPr="001C0297">
              <w:rPr>
                <w:rFonts w:ascii="Arial" w:hAnsi="Arial" w:cs="Arial"/>
              </w:rPr>
              <w:t>е-mail: sales@open.ru</w:t>
            </w:r>
          </w:p>
          <w:p w:rsidR="001C0297" w:rsidRPr="001C0297" w:rsidRDefault="001C0297" w:rsidP="001C0297">
            <w:pPr>
              <w:ind w:firstLine="567"/>
              <w:rPr>
                <w:rFonts w:ascii="Arial" w:hAnsi="Arial" w:cs="Arial"/>
              </w:rPr>
            </w:pPr>
            <w:r w:rsidRPr="001C0297">
              <w:rPr>
                <w:rFonts w:ascii="Arial" w:hAnsi="Arial" w:cs="Arial"/>
              </w:rPr>
              <w:t>Участие в размещении облигаций серии 01</w:t>
            </w:r>
          </w:p>
          <w:p w:rsidR="001C0297" w:rsidRPr="001C0297" w:rsidRDefault="001C0297" w:rsidP="001C0297">
            <w:pPr>
              <w:ind w:firstLine="567"/>
              <w:rPr>
                <w:rFonts w:ascii="Arial" w:hAnsi="Arial" w:cs="Arial"/>
                <w:b/>
              </w:rPr>
            </w:pPr>
            <w:r w:rsidRPr="001C0297">
              <w:rPr>
                <w:rFonts w:ascii="Arial" w:hAnsi="Arial" w:cs="Arial"/>
              </w:rPr>
              <w:t>Открытого акционерного общества «Якутская топливно-энергетическая компания»</w:t>
            </w:r>
          </w:p>
          <w:p w:rsidR="001C0297" w:rsidRPr="001C0297" w:rsidRDefault="001C0297" w:rsidP="001C0297">
            <w:pPr>
              <w:ind w:firstLine="567"/>
              <w:jc w:val="center"/>
              <w:rPr>
                <w:rFonts w:ascii="Arial" w:hAnsi="Arial" w:cs="Arial"/>
                <w:b/>
              </w:rPr>
            </w:pPr>
          </w:p>
          <w:p w:rsidR="001C0297" w:rsidRPr="001C0297" w:rsidRDefault="001C0297" w:rsidP="001C0297">
            <w:pPr>
              <w:ind w:firstLine="567"/>
              <w:jc w:val="center"/>
              <w:rPr>
                <w:rFonts w:ascii="Arial" w:hAnsi="Arial" w:cs="Arial"/>
                <w:b/>
              </w:rPr>
            </w:pPr>
            <w:r w:rsidRPr="001C0297">
              <w:rPr>
                <w:rFonts w:ascii="Arial" w:hAnsi="Arial" w:cs="Arial"/>
                <w:b/>
              </w:rPr>
              <w:t>Уважаемые коллеги,</w:t>
            </w:r>
          </w:p>
          <w:p w:rsidR="001C0297" w:rsidRPr="001C0297" w:rsidRDefault="001C0297" w:rsidP="001C0297">
            <w:pPr>
              <w:ind w:firstLine="567"/>
              <w:jc w:val="both"/>
              <w:rPr>
                <w:rFonts w:ascii="Arial" w:hAnsi="Arial" w:cs="Arial"/>
              </w:rPr>
            </w:pPr>
          </w:p>
          <w:p w:rsidR="001C0297" w:rsidRPr="001C0297" w:rsidRDefault="001C0297" w:rsidP="001C0297">
            <w:pPr>
              <w:ind w:firstLine="567"/>
              <w:jc w:val="both"/>
              <w:rPr>
                <w:rFonts w:ascii="Arial" w:hAnsi="Arial" w:cs="Arial"/>
              </w:rPr>
            </w:pPr>
            <w:r w:rsidRPr="001C0297">
              <w:rPr>
                <w:rFonts w:ascii="Arial" w:hAnsi="Arial" w:cs="Arial"/>
              </w:rPr>
              <w:t xml:space="preserve">Мы ознакомились с порядком проведения расчетов, а также с условиями и порядком участия в размещении </w:t>
            </w:r>
            <w:r w:rsidRPr="001C0297">
              <w:rPr>
                <w:rFonts w:ascii="Arial" w:hAnsi="Arial" w:cs="Arial"/>
                <w:color w:val="000000"/>
              </w:rPr>
              <w:t>облигаций неконвертируемых процентных документарных на предъявителя серии 01 Открытого акционерного общества «</w:t>
            </w:r>
            <w:r w:rsidRPr="001C0297">
              <w:rPr>
                <w:rFonts w:ascii="Arial" w:hAnsi="Arial" w:cs="Arial"/>
              </w:rPr>
              <w:t>Якутская топливно-энергетическая компания</w:t>
            </w:r>
            <w:r w:rsidRPr="001C0297">
              <w:rPr>
                <w:rFonts w:ascii="Arial" w:hAnsi="Arial" w:cs="Arial"/>
                <w:color w:val="000000"/>
              </w:rPr>
              <w:t xml:space="preserve">» (далее - Эмитент) с </w:t>
            </w:r>
            <w:r w:rsidRPr="001C0297">
              <w:rPr>
                <w:rFonts w:ascii="Arial" w:hAnsi="Arial" w:cs="Arial"/>
                <w:color w:val="000000"/>
              </w:rPr>
              <w:lastRenderedPageBreak/>
              <w:t xml:space="preserve">обязательным централизованным хранением, </w:t>
            </w:r>
            <w:r w:rsidRPr="001C0297">
              <w:rPr>
                <w:rFonts w:ascii="Arial" w:hAnsi="Arial" w:cs="Arial"/>
              </w:rPr>
              <w:t xml:space="preserve">имеющих государственный номер выпуска 4-01-20510-F, </w:t>
            </w:r>
            <w:r w:rsidRPr="001C0297">
              <w:rPr>
                <w:rFonts w:ascii="Arial" w:hAnsi="Arial" w:cs="Arial"/>
                <w:bCs/>
                <w:iCs/>
              </w:rPr>
              <w:t xml:space="preserve">присвоенный Федеральной службой по финансовым рынкам (ФСФР РФ) </w:t>
            </w:r>
            <w:r w:rsidRPr="001C0297">
              <w:rPr>
                <w:rFonts w:ascii="Arial" w:hAnsi="Arial" w:cs="Arial"/>
              </w:rPr>
              <w:t xml:space="preserve">11 октября 2012 </w:t>
            </w:r>
            <w:r w:rsidRPr="001C0297">
              <w:rPr>
                <w:rFonts w:ascii="Arial" w:hAnsi="Arial" w:cs="Arial"/>
                <w:bCs/>
                <w:iCs/>
              </w:rPr>
              <w:t xml:space="preserve">года </w:t>
            </w:r>
            <w:r w:rsidRPr="001C0297">
              <w:rPr>
                <w:rFonts w:ascii="Arial" w:hAnsi="Arial" w:cs="Arial"/>
              </w:rPr>
              <w:t xml:space="preserve">(далее – Облигации), изложенными в Решении о выпуске ценных бумаг, Проспекте ценных бумаг и приглашении делать предложения (оферты) о заключении </w:t>
            </w:r>
            <w:r w:rsidRPr="001C0297">
              <w:rPr>
                <w:rFonts w:ascii="Arial" w:hAnsi="Arial" w:cs="Arial"/>
                <w:color w:val="000000"/>
              </w:rPr>
              <w:t>предварительных договоров с потенциальными приобретателями Облигаций, содержащих обязанность заключить в будущем с ними или с действующими в их интересах участниками торгов основные договоры, направленные на отчуждение Эмитентом размещаемых ценных бумаг,</w:t>
            </w:r>
            <w:r w:rsidRPr="001C0297">
              <w:rPr>
                <w:rFonts w:ascii="Arial" w:hAnsi="Arial" w:cs="Arial"/>
              </w:rPr>
              <w:t xml:space="preserve"> и заявляем о своем согласии и готовности следовать таким условиям и порядку. </w:t>
            </w:r>
          </w:p>
          <w:p w:rsidR="001C0297" w:rsidRPr="001C0297" w:rsidRDefault="001C0297" w:rsidP="001C0297">
            <w:pPr>
              <w:ind w:firstLine="567"/>
              <w:jc w:val="both"/>
              <w:rPr>
                <w:rFonts w:ascii="Arial" w:hAnsi="Arial" w:cs="Arial"/>
              </w:rPr>
            </w:pPr>
            <w:r w:rsidRPr="001C0297">
              <w:rPr>
                <w:rFonts w:ascii="Arial" w:hAnsi="Arial" w:cs="Arial"/>
                <w:color w:val="000000"/>
              </w:rPr>
              <w:t xml:space="preserve">Тщательно проанализировав финансовые, экономические, юридические и иные риски и последствия приобретения и владения Облигациями, мы настоящим </w:t>
            </w:r>
            <w:r w:rsidRPr="001C0297">
              <w:rPr>
                <w:rFonts w:ascii="Arial" w:hAnsi="Arial" w:cs="Arial"/>
              </w:rPr>
              <w:t>обязуемся заключить в дату начала размещения Облигаций основные договоры купли-продажи о приобретении нами данных ценных бумаг у Открытого акционерного общества Банк «ОТКРЫТИЕ», оказывающего Эмитенту услуги по размещению Облигаций в соответствии с п.8.3. Решения о выпуске ценных бумаг на следующих условиях:</w:t>
            </w:r>
          </w:p>
          <w:p w:rsidR="001C0297" w:rsidRPr="001C0297" w:rsidRDefault="001C0297" w:rsidP="001C0297">
            <w:pPr>
              <w:ind w:firstLine="567"/>
              <w:jc w:val="both"/>
              <w:rPr>
                <w:rFonts w:ascii="Arial" w:hAnsi="Arial" w:cs="Arial"/>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00"/>
              <w:gridCol w:w="5423"/>
            </w:tblGrid>
            <w:tr w:rsidR="001C0297" w:rsidRPr="001C0297" w:rsidTr="00D07931">
              <w:tc>
                <w:tcPr>
                  <w:tcW w:w="4500" w:type="dxa"/>
                  <w:tcBorders>
                    <w:bottom w:val="single" w:sz="4" w:space="0" w:color="auto"/>
                  </w:tcBorders>
                </w:tcPr>
                <w:p w:rsidR="001C0297" w:rsidRPr="001C0297" w:rsidRDefault="001C0297" w:rsidP="001C0297">
                  <w:pPr>
                    <w:ind w:firstLine="567"/>
                    <w:jc w:val="center"/>
                    <w:rPr>
                      <w:rFonts w:ascii="Arial" w:hAnsi="Arial" w:cs="Arial"/>
                    </w:rPr>
                  </w:pPr>
                  <w:r w:rsidRPr="001C0297">
                    <w:rPr>
                      <w:rFonts w:ascii="Arial" w:hAnsi="Arial" w:cs="Arial"/>
                    </w:rPr>
                    <w:t>Максимальная сумма, на которую мы готовы приобрести Облигации (рубли РФ)</w:t>
                  </w:r>
                </w:p>
              </w:tc>
              <w:tc>
                <w:tcPr>
                  <w:tcW w:w="5423" w:type="dxa"/>
                  <w:tcBorders>
                    <w:bottom w:val="single" w:sz="4" w:space="0" w:color="auto"/>
                  </w:tcBorders>
                </w:tcPr>
                <w:p w:rsidR="001C0297" w:rsidRPr="001C0297" w:rsidRDefault="001C0297" w:rsidP="00D07931">
                  <w:pPr>
                    <w:ind w:firstLine="567"/>
                    <w:jc w:val="center"/>
                    <w:rPr>
                      <w:rFonts w:ascii="Arial" w:hAnsi="Arial" w:cs="Arial"/>
                    </w:rPr>
                  </w:pPr>
                  <w:r w:rsidRPr="001C0297">
                    <w:rPr>
                      <w:rFonts w:ascii="Arial" w:hAnsi="Arial" w:cs="Arial"/>
                    </w:rPr>
                    <w:t>Минимальная ставка первого купона по Облигациям, при которой мы готовы приобрести Облигации на указанную максимальную сумму</w:t>
                  </w:r>
                </w:p>
              </w:tc>
            </w:tr>
            <w:tr w:rsidR="001C0297" w:rsidRPr="001C0297" w:rsidTr="00D07931">
              <w:tc>
                <w:tcPr>
                  <w:tcW w:w="4500" w:type="dxa"/>
                  <w:tcBorders>
                    <w:top w:val="single" w:sz="4" w:space="0" w:color="auto"/>
                    <w:left w:val="single" w:sz="4" w:space="0" w:color="auto"/>
                    <w:bottom w:val="nil"/>
                    <w:right w:val="single" w:sz="4" w:space="0" w:color="auto"/>
                  </w:tcBorders>
                </w:tcPr>
                <w:p w:rsidR="001C0297" w:rsidRPr="001C0297" w:rsidRDefault="001C0297" w:rsidP="00D07931">
                  <w:pPr>
                    <w:ind w:firstLine="567"/>
                    <w:rPr>
                      <w:rFonts w:ascii="Arial" w:hAnsi="Arial" w:cs="Arial"/>
                    </w:rPr>
                  </w:pPr>
                </w:p>
              </w:tc>
              <w:tc>
                <w:tcPr>
                  <w:tcW w:w="5423" w:type="dxa"/>
                  <w:tcBorders>
                    <w:top w:val="single" w:sz="4" w:space="0" w:color="auto"/>
                    <w:left w:val="single" w:sz="4" w:space="0" w:color="auto"/>
                    <w:bottom w:val="nil"/>
                    <w:right w:val="single" w:sz="4" w:space="0" w:color="auto"/>
                  </w:tcBorders>
                </w:tcPr>
                <w:p w:rsidR="001C0297" w:rsidRPr="001C0297" w:rsidRDefault="001C0297" w:rsidP="00D07931">
                  <w:pPr>
                    <w:ind w:firstLine="567"/>
                    <w:rPr>
                      <w:rFonts w:ascii="Arial" w:hAnsi="Arial" w:cs="Arial"/>
                    </w:rPr>
                  </w:pPr>
                </w:p>
              </w:tc>
            </w:tr>
            <w:tr w:rsidR="001C0297" w:rsidRPr="001C0297" w:rsidTr="00D07931">
              <w:tc>
                <w:tcPr>
                  <w:tcW w:w="4500" w:type="dxa"/>
                  <w:tcBorders>
                    <w:top w:val="nil"/>
                    <w:left w:val="single" w:sz="4" w:space="0" w:color="auto"/>
                    <w:bottom w:val="single" w:sz="4" w:space="0" w:color="auto"/>
                    <w:right w:val="single" w:sz="4" w:space="0" w:color="auto"/>
                  </w:tcBorders>
                </w:tcPr>
                <w:p w:rsidR="001C0297" w:rsidRPr="001C0297" w:rsidRDefault="001C0297" w:rsidP="00D07931">
                  <w:pPr>
                    <w:ind w:firstLine="567"/>
                    <w:jc w:val="center"/>
                    <w:rPr>
                      <w:rFonts w:ascii="Arial" w:hAnsi="Arial" w:cs="Arial"/>
                    </w:rPr>
                  </w:pPr>
                  <w:r w:rsidRPr="001C0297">
                    <w:rPr>
                      <w:rFonts w:ascii="Arial" w:hAnsi="Arial" w:cs="Arial"/>
                    </w:rPr>
                    <w:t>[пожалуйста, укажите]</w:t>
                  </w:r>
                </w:p>
              </w:tc>
              <w:tc>
                <w:tcPr>
                  <w:tcW w:w="5423" w:type="dxa"/>
                  <w:tcBorders>
                    <w:top w:val="nil"/>
                    <w:left w:val="single" w:sz="4" w:space="0" w:color="auto"/>
                    <w:bottom w:val="single" w:sz="4" w:space="0" w:color="auto"/>
                    <w:right w:val="single" w:sz="4" w:space="0" w:color="auto"/>
                  </w:tcBorders>
                </w:tcPr>
                <w:p w:rsidR="001C0297" w:rsidRPr="001C0297" w:rsidRDefault="001C0297" w:rsidP="00D07931">
                  <w:pPr>
                    <w:ind w:firstLine="567"/>
                    <w:jc w:val="center"/>
                    <w:rPr>
                      <w:rFonts w:ascii="Arial" w:hAnsi="Arial" w:cs="Arial"/>
                    </w:rPr>
                  </w:pPr>
                  <w:r w:rsidRPr="001C0297">
                    <w:rPr>
                      <w:rFonts w:ascii="Arial" w:hAnsi="Arial" w:cs="Arial"/>
                    </w:rPr>
                    <w:t xml:space="preserve">   [пожалуйста, укажите]</w:t>
                  </w:r>
                </w:p>
              </w:tc>
            </w:tr>
          </w:tbl>
          <w:p w:rsidR="001C0297" w:rsidRPr="001C0297" w:rsidRDefault="001C0297" w:rsidP="001C0297">
            <w:pPr>
              <w:ind w:firstLine="567"/>
              <w:jc w:val="both"/>
              <w:rPr>
                <w:rFonts w:ascii="Arial" w:hAnsi="Arial" w:cs="Arial"/>
              </w:rPr>
            </w:pPr>
          </w:p>
          <w:p w:rsidR="001C0297" w:rsidRPr="001C0297" w:rsidRDefault="001C0297" w:rsidP="001C0297">
            <w:pPr>
              <w:ind w:firstLine="567"/>
              <w:jc w:val="both"/>
              <w:rPr>
                <w:rFonts w:ascii="Arial" w:hAnsi="Arial" w:cs="Arial"/>
              </w:rPr>
            </w:pPr>
            <w:r w:rsidRPr="001C0297">
              <w:rPr>
                <w:rFonts w:ascii="Arial" w:hAnsi="Arial" w:cs="Arial"/>
              </w:rPr>
              <w:t xml:space="preserve">Участником торгов ЗАО «ФБ ММВБ», выставляющим заявки на покупку Облигаций по нашему поручению, будет выступать [пожалуйста, укажите полное название своего брокера] </w:t>
            </w:r>
            <w:r w:rsidRPr="001C0297">
              <w:rPr>
                <w:rFonts w:ascii="Arial" w:hAnsi="Arial" w:cs="Arial"/>
                <w:i/>
              </w:rPr>
              <w:t>(для инвесторов, работающих через брокера)</w:t>
            </w:r>
            <w:r w:rsidRPr="001C0297">
              <w:rPr>
                <w:rFonts w:ascii="Arial" w:hAnsi="Arial" w:cs="Arial"/>
              </w:rPr>
              <w:t>.</w:t>
            </w:r>
          </w:p>
          <w:p w:rsidR="001C0297" w:rsidRPr="001C0297" w:rsidRDefault="001C0297" w:rsidP="001C0297">
            <w:pPr>
              <w:pStyle w:val="21"/>
              <w:widowControl/>
              <w:spacing w:after="0"/>
              <w:ind w:firstLine="567"/>
              <w:rPr>
                <w:rFonts w:ascii="Arial" w:hAnsi="Arial" w:cs="Arial"/>
                <w:sz w:val="20"/>
              </w:rPr>
            </w:pPr>
            <w:r w:rsidRPr="001C0297">
              <w:rPr>
                <w:rFonts w:ascii="Arial" w:hAnsi="Arial" w:cs="Arial"/>
                <w:sz w:val="20"/>
              </w:rPr>
              <w:t>Настоящее сообщение является предложением (офертой) о заключении Предварительного договора (далее – Предложение). Настоящее Предложение о покупке действует до 30 октября 2012 г.</w:t>
            </w:r>
          </w:p>
          <w:p w:rsidR="001C0297" w:rsidRPr="001C0297" w:rsidRDefault="001C0297" w:rsidP="001C0297">
            <w:pPr>
              <w:pStyle w:val="21"/>
              <w:widowControl/>
              <w:spacing w:after="0"/>
              <w:rPr>
                <w:rFonts w:ascii="Arial" w:hAnsi="Arial" w:cs="Arial"/>
                <w:sz w:val="20"/>
              </w:rPr>
            </w:pPr>
            <w:r w:rsidRPr="001C0297">
              <w:rPr>
                <w:rFonts w:ascii="Arial" w:hAnsi="Arial" w:cs="Arial"/>
                <w:sz w:val="20"/>
              </w:rPr>
              <w:t>В случае если настоящее Предложение будет принято (акцептовано) Эмитентом, пожалуйста, направьте нам Уведомление об Акцепте по следующим координатам: для отправки курьером: [укажите почтовый адрес Вашего офиса (для физического лица место регистрации)], для отправки по факсу: [укажите номер факса Вашего офиса (для физического лица номер факса)].</w:t>
            </w:r>
          </w:p>
          <w:p w:rsidR="001C0297" w:rsidRPr="001C0297" w:rsidRDefault="001C0297" w:rsidP="001C0297">
            <w:pPr>
              <w:ind w:firstLine="567"/>
              <w:jc w:val="both"/>
              <w:rPr>
                <w:rFonts w:ascii="Arial" w:hAnsi="Arial" w:cs="Arial"/>
              </w:rPr>
            </w:pPr>
            <w:r w:rsidRPr="001C0297">
              <w:rPr>
                <w:rFonts w:ascii="Arial" w:hAnsi="Arial" w:cs="Arial"/>
              </w:rPr>
              <w:t>Все термины, используемые, но не определенные, в настоящем сообщении, понимаются в значении, установленном для них в Приглашении, Решение о выпуске ценных бумаг и Проспекте ценных бумаг.</w:t>
            </w:r>
          </w:p>
          <w:p w:rsidR="001C0297" w:rsidRPr="001C0297" w:rsidRDefault="001C0297" w:rsidP="001C0297">
            <w:pPr>
              <w:ind w:firstLine="567"/>
              <w:jc w:val="both"/>
              <w:rPr>
                <w:rFonts w:ascii="Arial" w:hAnsi="Arial" w:cs="Arial"/>
              </w:rPr>
            </w:pPr>
          </w:p>
          <w:p w:rsidR="001C0297" w:rsidRPr="001C0297" w:rsidRDefault="001C0297" w:rsidP="001C0297">
            <w:pPr>
              <w:rPr>
                <w:rFonts w:ascii="Arial" w:hAnsi="Arial" w:cs="Arial"/>
              </w:rPr>
            </w:pPr>
            <w:r w:rsidRPr="001C0297">
              <w:rPr>
                <w:rFonts w:ascii="Arial" w:hAnsi="Arial" w:cs="Arial"/>
              </w:rPr>
              <w:t xml:space="preserve">Должность                                                                                            ________________   ФИО </w:t>
            </w:r>
            <w:r w:rsidRPr="001C0297">
              <w:rPr>
                <w:rFonts w:ascii="Arial" w:hAnsi="Arial" w:cs="Arial"/>
              </w:rPr>
              <w:br/>
              <w:t>[если лицо действует по доверенности, укажите</w:t>
            </w:r>
          </w:p>
          <w:p w:rsidR="001C0297" w:rsidRPr="001C0297" w:rsidRDefault="001C0297" w:rsidP="001C0297">
            <w:pPr>
              <w:rPr>
                <w:rFonts w:ascii="Arial" w:hAnsi="Arial" w:cs="Arial"/>
              </w:rPr>
            </w:pPr>
            <w:r w:rsidRPr="001C0297">
              <w:rPr>
                <w:rFonts w:ascii="Arial" w:hAnsi="Arial" w:cs="Arial"/>
              </w:rPr>
              <w:t>реквизиты документа и приложите его копию]                 Подпись</w:t>
            </w:r>
          </w:p>
          <w:p w:rsidR="001C0297" w:rsidRPr="001C0297" w:rsidRDefault="001C0297" w:rsidP="001C0297">
            <w:pPr>
              <w:ind w:firstLine="567"/>
              <w:rPr>
                <w:rFonts w:ascii="Arial" w:hAnsi="Arial" w:cs="Arial"/>
              </w:rPr>
            </w:pPr>
          </w:p>
          <w:p w:rsidR="001C0297" w:rsidRPr="001C0297" w:rsidRDefault="001C0297" w:rsidP="001C0297">
            <w:pPr>
              <w:rPr>
                <w:rFonts w:ascii="Arial" w:hAnsi="Arial" w:cs="Arial"/>
              </w:rPr>
            </w:pPr>
            <w:r w:rsidRPr="001C0297">
              <w:rPr>
                <w:rFonts w:ascii="Arial" w:hAnsi="Arial" w:cs="Arial"/>
              </w:rPr>
              <w:t>Печать</w:t>
            </w:r>
          </w:p>
          <w:p w:rsidR="001C0297" w:rsidRPr="001C0297" w:rsidRDefault="001C0297" w:rsidP="001C0297">
            <w:pPr>
              <w:ind w:firstLine="567"/>
              <w:jc w:val="both"/>
              <w:rPr>
                <w:rFonts w:ascii="Arial" w:hAnsi="Arial" w:cs="Arial"/>
              </w:rPr>
            </w:pPr>
            <w:r w:rsidRPr="001C0297">
              <w:rPr>
                <w:rFonts w:ascii="Arial" w:hAnsi="Arial" w:cs="Arial"/>
              </w:rPr>
              <w:t xml:space="preserve">                                                                                                             </w:t>
            </w:r>
            <w:r w:rsidRPr="001C0297">
              <w:rPr>
                <w:rFonts w:ascii="Arial" w:hAnsi="Arial" w:cs="Arial"/>
              </w:rPr>
              <w:br/>
              <w:t>Дата «____» ___________   2012 г.</w:t>
            </w:r>
          </w:p>
          <w:p w:rsidR="00DF2389" w:rsidRPr="001C0297" w:rsidRDefault="00DF2389" w:rsidP="00DF2389">
            <w:pPr>
              <w:adjustRightInd w:val="0"/>
              <w:ind w:firstLine="540"/>
              <w:jc w:val="both"/>
              <w:rPr>
                <w:rFonts w:ascii="Arial" w:hAnsi="Arial" w:cs="Arial"/>
              </w:rPr>
            </w:pPr>
          </w:p>
          <w:p w:rsidR="005154A8" w:rsidRPr="001C0297" w:rsidRDefault="00A62757" w:rsidP="001C0297">
            <w:pPr>
              <w:adjustRightInd w:val="0"/>
              <w:jc w:val="both"/>
              <w:rPr>
                <w:rFonts w:ascii="Arial" w:hAnsi="Arial" w:cs="Arial"/>
                <w:b/>
                <w:color w:val="000000"/>
              </w:rPr>
            </w:pPr>
            <w:r w:rsidRPr="001C0297">
              <w:rPr>
                <w:rFonts w:ascii="Arial" w:hAnsi="Arial" w:cs="Arial"/>
              </w:rPr>
              <w:t>2.5. Д</w:t>
            </w:r>
            <w:r w:rsidR="00DF2389" w:rsidRPr="001C0297">
              <w:rPr>
                <w:rFonts w:ascii="Arial" w:hAnsi="Arial" w:cs="Arial"/>
              </w:rPr>
              <w:t>ата наступления соответствующего события (совершения действия), а если соответствующее событие наступает в отношении третьего лица (соответствующее действие совершается третьим лицом) - также дата, в которую эмитент узнал о наступлении указанного события (</w:t>
            </w:r>
            <w:r w:rsidR="00B85F72" w:rsidRPr="001C0297">
              <w:rPr>
                <w:rFonts w:ascii="Arial" w:hAnsi="Arial" w:cs="Arial"/>
              </w:rPr>
              <w:t xml:space="preserve">совершении указанного действия) </w:t>
            </w:r>
            <w:r w:rsidR="001C0297" w:rsidRPr="001C0297">
              <w:rPr>
                <w:rFonts w:ascii="Arial" w:hAnsi="Arial" w:cs="Arial"/>
                <w:b/>
              </w:rPr>
              <w:t>25</w:t>
            </w:r>
            <w:r w:rsidR="00B85F72" w:rsidRPr="001C0297">
              <w:rPr>
                <w:rFonts w:ascii="Arial" w:hAnsi="Arial" w:cs="Arial"/>
                <w:b/>
              </w:rPr>
              <w:t xml:space="preserve"> </w:t>
            </w:r>
            <w:r w:rsidR="001C0297" w:rsidRPr="001C0297">
              <w:rPr>
                <w:rFonts w:ascii="Arial" w:hAnsi="Arial" w:cs="Arial"/>
                <w:b/>
              </w:rPr>
              <w:t xml:space="preserve">октября </w:t>
            </w:r>
            <w:r w:rsidR="00B85F72" w:rsidRPr="001C0297">
              <w:rPr>
                <w:rFonts w:ascii="Arial" w:hAnsi="Arial" w:cs="Arial"/>
                <w:b/>
              </w:rPr>
              <w:t>2012 года</w:t>
            </w:r>
          </w:p>
        </w:tc>
      </w:tr>
    </w:tbl>
    <w:p w:rsidR="002751FC" w:rsidRPr="001C0297" w:rsidRDefault="002751FC">
      <w:pPr>
        <w:rPr>
          <w:rFonts w:ascii="Arial" w:hAnsi="Arial" w:cs="Arial"/>
        </w:rPr>
      </w:pPr>
    </w:p>
    <w:tbl>
      <w:tblPr>
        <w:tblpPr w:leftFromText="180" w:rightFromText="180" w:vertAnchor="text" w:horzAnchor="margin" w:tblpY="1"/>
        <w:tblOverlap w:val="neve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19"/>
        <w:gridCol w:w="406"/>
        <w:gridCol w:w="283"/>
        <w:gridCol w:w="1559"/>
        <w:gridCol w:w="397"/>
        <w:gridCol w:w="340"/>
        <w:gridCol w:w="644"/>
        <w:gridCol w:w="1559"/>
        <w:gridCol w:w="284"/>
        <w:gridCol w:w="3543"/>
      </w:tblGrid>
      <w:tr w:rsidR="001C0297" w:rsidRPr="001C0297" w:rsidTr="00D07931">
        <w:tc>
          <w:tcPr>
            <w:tcW w:w="10234" w:type="dxa"/>
            <w:gridSpan w:val="10"/>
          </w:tcPr>
          <w:p w:rsidR="001C0297" w:rsidRPr="001C0297" w:rsidRDefault="001C0297" w:rsidP="00D07931">
            <w:pPr>
              <w:jc w:val="center"/>
              <w:rPr>
                <w:rFonts w:ascii="Arial" w:hAnsi="Arial" w:cs="Arial"/>
              </w:rPr>
            </w:pPr>
            <w:r w:rsidRPr="001C0297">
              <w:rPr>
                <w:rFonts w:ascii="Arial" w:hAnsi="Arial" w:cs="Arial"/>
              </w:rPr>
              <w:t>3. Подпись</w:t>
            </w:r>
          </w:p>
        </w:tc>
      </w:tr>
      <w:tr w:rsidR="001C0297" w:rsidRPr="001C0297" w:rsidTr="00D079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8"/>
        </w:trPr>
        <w:tc>
          <w:tcPr>
            <w:tcW w:w="4848" w:type="dxa"/>
            <w:gridSpan w:val="7"/>
            <w:tcBorders>
              <w:top w:val="nil"/>
              <w:left w:val="single" w:sz="4" w:space="0" w:color="auto"/>
              <w:bottom w:val="nil"/>
              <w:right w:val="nil"/>
            </w:tcBorders>
          </w:tcPr>
          <w:p w:rsidR="001C0297" w:rsidRPr="001C0297" w:rsidRDefault="001C0297" w:rsidP="00D07931">
            <w:pPr>
              <w:ind w:left="85"/>
              <w:rPr>
                <w:rFonts w:ascii="Arial" w:hAnsi="Arial" w:cs="Arial"/>
              </w:rPr>
            </w:pPr>
          </w:p>
          <w:p w:rsidR="001C0297" w:rsidRPr="001C0297" w:rsidRDefault="001C0297" w:rsidP="00D07931">
            <w:pPr>
              <w:ind w:left="85"/>
              <w:rPr>
                <w:rFonts w:ascii="Arial" w:hAnsi="Arial" w:cs="Arial"/>
              </w:rPr>
            </w:pPr>
            <w:r w:rsidRPr="001C0297">
              <w:rPr>
                <w:rFonts w:ascii="Arial" w:hAnsi="Arial" w:cs="Arial"/>
              </w:rPr>
              <w:t>3.1.   Генеральный директор ОАО «ЯТЭК»</w:t>
            </w:r>
          </w:p>
        </w:tc>
        <w:tc>
          <w:tcPr>
            <w:tcW w:w="1559" w:type="dxa"/>
            <w:tcBorders>
              <w:top w:val="nil"/>
              <w:left w:val="nil"/>
              <w:bottom w:val="single" w:sz="4" w:space="0" w:color="auto"/>
              <w:right w:val="nil"/>
            </w:tcBorders>
          </w:tcPr>
          <w:p w:rsidR="001C0297" w:rsidRPr="001C0297" w:rsidRDefault="001C0297" w:rsidP="00D07931">
            <w:pPr>
              <w:jc w:val="both"/>
              <w:rPr>
                <w:rFonts w:ascii="Arial" w:hAnsi="Arial" w:cs="Arial"/>
              </w:rPr>
            </w:pPr>
          </w:p>
        </w:tc>
        <w:tc>
          <w:tcPr>
            <w:tcW w:w="284" w:type="dxa"/>
            <w:tcBorders>
              <w:top w:val="nil"/>
              <w:left w:val="nil"/>
              <w:bottom w:val="nil"/>
              <w:right w:val="nil"/>
            </w:tcBorders>
          </w:tcPr>
          <w:p w:rsidR="001C0297" w:rsidRPr="001C0297" w:rsidRDefault="001C0297" w:rsidP="00D07931">
            <w:pPr>
              <w:jc w:val="both"/>
              <w:rPr>
                <w:rFonts w:ascii="Arial" w:hAnsi="Arial" w:cs="Arial"/>
              </w:rPr>
            </w:pPr>
          </w:p>
        </w:tc>
        <w:tc>
          <w:tcPr>
            <w:tcW w:w="3543" w:type="dxa"/>
            <w:tcBorders>
              <w:top w:val="nil"/>
              <w:left w:val="nil"/>
              <w:bottom w:val="nil"/>
              <w:right w:val="single" w:sz="4" w:space="0" w:color="auto"/>
            </w:tcBorders>
            <w:vAlign w:val="bottom"/>
          </w:tcPr>
          <w:p w:rsidR="001C0297" w:rsidRPr="001C0297" w:rsidRDefault="001C0297" w:rsidP="00D07931">
            <w:pPr>
              <w:jc w:val="center"/>
              <w:rPr>
                <w:rFonts w:ascii="Arial" w:hAnsi="Arial" w:cs="Arial"/>
              </w:rPr>
            </w:pPr>
            <w:r w:rsidRPr="001C0297">
              <w:rPr>
                <w:rFonts w:ascii="Arial" w:hAnsi="Arial" w:cs="Arial"/>
              </w:rPr>
              <w:t>З.К.Юсупов</w:t>
            </w:r>
          </w:p>
        </w:tc>
      </w:tr>
      <w:tr w:rsidR="001C0297" w:rsidRPr="001C0297" w:rsidTr="00D079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7"/>
        </w:trPr>
        <w:tc>
          <w:tcPr>
            <w:tcW w:w="4848" w:type="dxa"/>
            <w:gridSpan w:val="7"/>
            <w:tcBorders>
              <w:top w:val="nil"/>
              <w:left w:val="single" w:sz="4" w:space="0" w:color="auto"/>
              <w:bottom w:val="nil"/>
              <w:right w:val="nil"/>
            </w:tcBorders>
          </w:tcPr>
          <w:p w:rsidR="001C0297" w:rsidRPr="001C0297" w:rsidRDefault="001C0297" w:rsidP="00D07931">
            <w:pPr>
              <w:ind w:left="85"/>
              <w:jc w:val="both"/>
              <w:rPr>
                <w:rFonts w:ascii="Arial" w:hAnsi="Arial" w:cs="Arial"/>
              </w:rPr>
            </w:pPr>
          </w:p>
        </w:tc>
        <w:tc>
          <w:tcPr>
            <w:tcW w:w="1559" w:type="dxa"/>
            <w:tcBorders>
              <w:top w:val="nil"/>
              <w:left w:val="nil"/>
              <w:bottom w:val="nil"/>
              <w:right w:val="nil"/>
            </w:tcBorders>
          </w:tcPr>
          <w:p w:rsidR="001C0297" w:rsidRPr="001C0297" w:rsidRDefault="001C0297" w:rsidP="00D07931">
            <w:pPr>
              <w:jc w:val="both"/>
              <w:rPr>
                <w:rFonts w:ascii="Arial" w:hAnsi="Arial" w:cs="Arial"/>
              </w:rPr>
            </w:pPr>
            <w:r w:rsidRPr="001C0297">
              <w:rPr>
                <w:rFonts w:ascii="Arial" w:hAnsi="Arial" w:cs="Arial"/>
              </w:rPr>
              <w:t xml:space="preserve">   (подпись)</w:t>
            </w:r>
          </w:p>
        </w:tc>
        <w:tc>
          <w:tcPr>
            <w:tcW w:w="284" w:type="dxa"/>
            <w:tcBorders>
              <w:top w:val="nil"/>
              <w:left w:val="nil"/>
              <w:bottom w:val="nil"/>
              <w:right w:val="nil"/>
            </w:tcBorders>
          </w:tcPr>
          <w:p w:rsidR="001C0297" w:rsidRPr="001C0297" w:rsidRDefault="001C0297" w:rsidP="00D07931">
            <w:pPr>
              <w:jc w:val="both"/>
              <w:rPr>
                <w:rFonts w:ascii="Arial" w:hAnsi="Arial" w:cs="Arial"/>
              </w:rPr>
            </w:pPr>
          </w:p>
        </w:tc>
        <w:tc>
          <w:tcPr>
            <w:tcW w:w="3543" w:type="dxa"/>
            <w:tcBorders>
              <w:top w:val="nil"/>
              <w:left w:val="nil"/>
              <w:bottom w:val="nil"/>
              <w:right w:val="single" w:sz="4" w:space="0" w:color="auto"/>
            </w:tcBorders>
          </w:tcPr>
          <w:p w:rsidR="001C0297" w:rsidRPr="001C0297" w:rsidRDefault="001C0297" w:rsidP="00D07931">
            <w:pPr>
              <w:jc w:val="both"/>
              <w:rPr>
                <w:rFonts w:ascii="Arial" w:hAnsi="Arial" w:cs="Arial"/>
              </w:rPr>
            </w:pPr>
          </w:p>
        </w:tc>
      </w:tr>
      <w:tr w:rsidR="001C0297" w:rsidRPr="001C0297" w:rsidTr="00D079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10"/>
        </w:trPr>
        <w:tc>
          <w:tcPr>
            <w:tcW w:w="1219" w:type="dxa"/>
            <w:tcBorders>
              <w:top w:val="nil"/>
              <w:left w:val="single" w:sz="4" w:space="0" w:color="auto"/>
              <w:bottom w:val="nil"/>
              <w:right w:val="nil"/>
            </w:tcBorders>
            <w:vAlign w:val="bottom"/>
          </w:tcPr>
          <w:p w:rsidR="001C0297" w:rsidRPr="001C0297" w:rsidRDefault="001C0297" w:rsidP="00D07931">
            <w:pPr>
              <w:ind w:left="57"/>
              <w:jc w:val="both"/>
              <w:rPr>
                <w:rFonts w:ascii="Arial" w:hAnsi="Arial" w:cs="Arial"/>
              </w:rPr>
            </w:pPr>
            <w:r w:rsidRPr="001C0297">
              <w:rPr>
                <w:rFonts w:ascii="Arial" w:hAnsi="Arial" w:cs="Arial"/>
              </w:rPr>
              <w:t>3.2. Дата “</w:t>
            </w:r>
          </w:p>
        </w:tc>
        <w:tc>
          <w:tcPr>
            <w:tcW w:w="406" w:type="dxa"/>
            <w:tcBorders>
              <w:top w:val="nil"/>
              <w:left w:val="nil"/>
              <w:bottom w:val="single" w:sz="4" w:space="0" w:color="auto"/>
              <w:right w:val="nil"/>
            </w:tcBorders>
            <w:vAlign w:val="bottom"/>
          </w:tcPr>
          <w:p w:rsidR="001C0297" w:rsidRPr="001C0297" w:rsidRDefault="001C0297" w:rsidP="00D07931">
            <w:pPr>
              <w:jc w:val="both"/>
              <w:rPr>
                <w:rFonts w:ascii="Arial" w:hAnsi="Arial" w:cs="Arial"/>
              </w:rPr>
            </w:pPr>
            <w:r w:rsidRPr="001C0297">
              <w:rPr>
                <w:rFonts w:ascii="Arial" w:hAnsi="Arial" w:cs="Arial"/>
              </w:rPr>
              <w:t>25</w:t>
            </w:r>
          </w:p>
        </w:tc>
        <w:tc>
          <w:tcPr>
            <w:tcW w:w="283" w:type="dxa"/>
            <w:tcBorders>
              <w:top w:val="nil"/>
              <w:left w:val="nil"/>
              <w:bottom w:val="nil"/>
              <w:right w:val="nil"/>
            </w:tcBorders>
            <w:vAlign w:val="bottom"/>
          </w:tcPr>
          <w:p w:rsidR="001C0297" w:rsidRPr="001C0297" w:rsidRDefault="001C0297" w:rsidP="00D07931">
            <w:pPr>
              <w:jc w:val="both"/>
              <w:rPr>
                <w:rFonts w:ascii="Arial" w:hAnsi="Arial" w:cs="Arial"/>
              </w:rPr>
            </w:pPr>
            <w:r w:rsidRPr="001C0297">
              <w:rPr>
                <w:rFonts w:ascii="Arial" w:hAnsi="Arial" w:cs="Arial"/>
              </w:rPr>
              <w:t>”</w:t>
            </w:r>
          </w:p>
        </w:tc>
        <w:tc>
          <w:tcPr>
            <w:tcW w:w="1559" w:type="dxa"/>
            <w:tcBorders>
              <w:top w:val="nil"/>
              <w:left w:val="nil"/>
              <w:bottom w:val="single" w:sz="4" w:space="0" w:color="auto"/>
              <w:right w:val="nil"/>
            </w:tcBorders>
            <w:vAlign w:val="bottom"/>
          </w:tcPr>
          <w:p w:rsidR="001C0297" w:rsidRPr="001C0297" w:rsidRDefault="001C0297" w:rsidP="00D07931">
            <w:pPr>
              <w:jc w:val="both"/>
              <w:rPr>
                <w:rFonts w:ascii="Arial" w:hAnsi="Arial" w:cs="Arial"/>
              </w:rPr>
            </w:pPr>
            <w:r w:rsidRPr="001C0297">
              <w:rPr>
                <w:rFonts w:ascii="Arial" w:hAnsi="Arial" w:cs="Arial"/>
              </w:rPr>
              <w:t>октября</w:t>
            </w:r>
          </w:p>
        </w:tc>
        <w:tc>
          <w:tcPr>
            <w:tcW w:w="397" w:type="dxa"/>
            <w:tcBorders>
              <w:top w:val="nil"/>
              <w:left w:val="nil"/>
              <w:bottom w:val="nil"/>
              <w:right w:val="nil"/>
            </w:tcBorders>
            <w:vAlign w:val="bottom"/>
          </w:tcPr>
          <w:p w:rsidR="001C0297" w:rsidRPr="001C0297" w:rsidRDefault="001C0297" w:rsidP="00D07931">
            <w:pPr>
              <w:jc w:val="both"/>
              <w:rPr>
                <w:rFonts w:ascii="Arial" w:hAnsi="Arial" w:cs="Arial"/>
              </w:rPr>
            </w:pPr>
            <w:r w:rsidRPr="001C0297">
              <w:rPr>
                <w:rFonts w:ascii="Arial" w:hAnsi="Arial" w:cs="Arial"/>
              </w:rPr>
              <w:t>20</w:t>
            </w:r>
          </w:p>
        </w:tc>
        <w:tc>
          <w:tcPr>
            <w:tcW w:w="340" w:type="dxa"/>
            <w:tcBorders>
              <w:top w:val="nil"/>
              <w:left w:val="nil"/>
              <w:bottom w:val="single" w:sz="4" w:space="0" w:color="auto"/>
              <w:right w:val="nil"/>
            </w:tcBorders>
            <w:vAlign w:val="bottom"/>
          </w:tcPr>
          <w:p w:rsidR="001C0297" w:rsidRPr="001C0297" w:rsidRDefault="001C0297" w:rsidP="00D07931">
            <w:pPr>
              <w:jc w:val="both"/>
              <w:rPr>
                <w:rFonts w:ascii="Arial" w:hAnsi="Arial" w:cs="Arial"/>
              </w:rPr>
            </w:pPr>
            <w:r w:rsidRPr="001C0297">
              <w:rPr>
                <w:rFonts w:ascii="Arial" w:hAnsi="Arial" w:cs="Arial"/>
              </w:rPr>
              <w:t>12</w:t>
            </w:r>
          </w:p>
        </w:tc>
        <w:tc>
          <w:tcPr>
            <w:tcW w:w="6030" w:type="dxa"/>
            <w:gridSpan w:val="4"/>
            <w:tcBorders>
              <w:top w:val="nil"/>
              <w:left w:val="nil"/>
              <w:bottom w:val="nil"/>
              <w:right w:val="single" w:sz="4" w:space="0" w:color="auto"/>
            </w:tcBorders>
            <w:vAlign w:val="bottom"/>
          </w:tcPr>
          <w:p w:rsidR="001C0297" w:rsidRPr="001C0297" w:rsidRDefault="001C0297" w:rsidP="00D07931">
            <w:pPr>
              <w:tabs>
                <w:tab w:val="left" w:pos="1219"/>
              </w:tabs>
              <w:jc w:val="both"/>
              <w:rPr>
                <w:rFonts w:ascii="Arial" w:hAnsi="Arial" w:cs="Arial"/>
              </w:rPr>
            </w:pPr>
            <w:r w:rsidRPr="001C0297">
              <w:rPr>
                <w:rFonts w:ascii="Arial" w:hAnsi="Arial" w:cs="Arial"/>
              </w:rPr>
              <w:t>г.</w:t>
            </w:r>
            <w:r w:rsidRPr="001C0297">
              <w:rPr>
                <w:rFonts w:ascii="Arial" w:hAnsi="Arial" w:cs="Arial"/>
              </w:rPr>
              <w:tab/>
              <w:t>М.П.</w:t>
            </w:r>
          </w:p>
        </w:tc>
      </w:tr>
      <w:tr w:rsidR="001C0297" w:rsidRPr="001C0297" w:rsidTr="00D079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34" w:type="dxa"/>
            <w:gridSpan w:val="10"/>
            <w:tcBorders>
              <w:top w:val="nil"/>
              <w:left w:val="single" w:sz="4" w:space="0" w:color="auto"/>
              <w:bottom w:val="single" w:sz="4" w:space="0" w:color="auto"/>
              <w:right w:val="single" w:sz="4" w:space="0" w:color="auto"/>
            </w:tcBorders>
          </w:tcPr>
          <w:p w:rsidR="001C0297" w:rsidRPr="001C0297" w:rsidRDefault="001C0297" w:rsidP="00D07931">
            <w:pPr>
              <w:jc w:val="both"/>
              <w:rPr>
                <w:rFonts w:ascii="Arial" w:hAnsi="Arial" w:cs="Arial"/>
              </w:rPr>
            </w:pPr>
          </w:p>
        </w:tc>
      </w:tr>
    </w:tbl>
    <w:p w:rsidR="002751FC" w:rsidRPr="001C0297" w:rsidRDefault="002751FC" w:rsidP="00E234FB">
      <w:pPr>
        <w:adjustRightInd w:val="0"/>
        <w:ind w:left="360" w:right="113"/>
        <w:jc w:val="both"/>
        <w:outlineLvl w:val="2"/>
        <w:rPr>
          <w:rFonts w:ascii="Arial" w:hAnsi="Arial" w:cs="Arial"/>
        </w:rPr>
      </w:pPr>
    </w:p>
    <w:p w:rsidR="00DA1A5A" w:rsidRPr="001C0297" w:rsidRDefault="00DA1A5A" w:rsidP="00E234FB">
      <w:pPr>
        <w:adjustRightInd w:val="0"/>
        <w:ind w:left="360" w:right="113"/>
        <w:jc w:val="both"/>
        <w:outlineLvl w:val="2"/>
        <w:rPr>
          <w:rFonts w:ascii="Arial" w:hAnsi="Arial" w:cs="Arial"/>
        </w:rPr>
      </w:pPr>
    </w:p>
    <w:sectPr w:rsidR="00DA1A5A" w:rsidRPr="001C0297" w:rsidSect="00E36B84">
      <w:pgSz w:w="11906" w:h="16838"/>
      <w:pgMar w:top="851" w:right="567" w:bottom="567" w:left="1134" w:header="397"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0EC" w:rsidRDefault="00E610EC">
      <w:r>
        <w:separator/>
      </w:r>
    </w:p>
  </w:endnote>
  <w:endnote w:type="continuationSeparator" w:id="0">
    <w:p w:rsidR="00E610EC" w:rsidRDefault="00E610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0EC" w:rsidRDefault="00E610EC">
      <w:r>
        <w:separator/>
      </w:r>
    </w:p>
  </w:footnote>
  <w:footnote w:type="continuationSeparator" w:id="0">
    <w:p w:rsidR="00E610EC" w:rsidRDefault="00E610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C7AD2"/>
    <w:multiLevelType w:val="multilevel"/>
    <w:tmpl w:val="0442C72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166710D1"/>
    <w:multiLevelType w:val="hybridMultilevel"/>
    <w:tmpl w:val="77D48C0E"/>
    <w:lvl w:ilvl="0" w:tplc="02A83C30">
      <w:start w:val="1"/>
      <w:numFmt w:val="decimal"/>
      <w:lvlText w:val="%1."/>
      <w:lvlJc w:val="left"/>
      <w:pPr>
        <w:ind w:left="72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0C2281"/>
    <w:multiLevelType w:val="hybridMultilevel"/>
    <w:tmpl w:val="0AC0CC88"/>
    <w:lvl w:ilvl="0" w:tplc="1D849C9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7D65311"/>
    <w:multiLevelType w:val="hybridMultilevel"/>
    <w:tmpl w:val="AA5AB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9E6168"/>
    <w:rsid w:val="0001251C"/>
    <w:rsid w:val="000E1369"/>
    <w:rsid w:val="000E35DA"/>
    <w:rsid w:val="001407B3"/>
    <w:rsid w:val="00150AF5"/>
    <w:rsid w:val="00154BB3"/>
    <w:rsid w:val="001A166F"/>
    <w:rsid w:val="001C0297"/>
    <w:rsid w:val="00200CC9"/>
    <w:rsid w:val="002751FC"/>
    <w:rsid w:val="002F0B41"/>
    <w:rsid w:val="00320826"/>
    <w:rsid w:val="003221FD"/>
    <w:rsid w:val="0035410B"/>
    <w:rsid w:val="00381EFF"/>
    <w:rsid w:val="003F5C4B"/>
    <w:rsid w:val="004571F8"/>
    <w:rsid w:val="005154A8"/>
    <w:rsid w:val="00631B2A"/>
    <w:rsid w:val="00641A24"/>
    <w:rsid w:val="00675F42"/>
    <w:rsid w:val="006765A8"/>
    <w:rsid w:val="006B3EA2"/>
    <w:rsid w:val="006D2171"/>
    <w:rsid w:val="00725458"/>
    <w:rsid w:val="007262F9"/>
    <w:rsid w:val="007A0EAD"/>
    <w:rsid w:val="007B0591"/>
    <w:rsid w:val="007F1B47"/>
    <w:rsid w:val="007F4F72"/>
    <w:rsid w:val="00811553"/>
    <w:rsid w:val="00815FE1"/>
    <w:rsid w:val="0097665A"/>
    <w:rsid w:val="009914DE"/>
    <w:rsid w:val="009E6168"/>
    <w:rsid w:val="009F0667"/>
    <w:rsid w:val="00A52843"/>
    <w:rsid w:val="00A601E2"/>
    <w:rsid w:val="00A62757"/>
    <w:rsid w:val="00A94D5C"/>
    <w:rsid w:val="00A95B1F"/>
    <w:rsid w:val="00AF40F2"/>
    <w:rsid w:val="00B2104D"/>
    <w:rsid w:val="00B66278"/>
    <w:rsid w:val="00B85F72"/>
    <w:rsid w:val="00BA2FBD"/>
    <w:rsid w:val="00BA3DAF"/>
    <w:rsid w:val="00D3014C"/>
    <w:rsid w:val="00D43DFC"/>
    <w:rsid w:val="00DA1A5A"/>
    <w:rsid w:val="00DF2389"/>
    <w:rsid w:val="00E0167B"/>
    <w:rsid w:val="00E234FB"/>
    <w:rsid w:val="00E36B84"/>
    <w:rsid w:val="00E610EC"/>
    <w:rsid w:val="00E91693"/>
    <w:rsid w:val="00EE26B6"/>
    <w:rsid w:val="00F80F87"/>
    <w:rsid w:val="00F80F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unhideWhenUsed="0"/>
    <w:lsdException w:name="footer" w:unhideWhenUsed="0"/>
    <w:lsdException w:name="caption" w:uiPriority="35" w:qFormat="1"/>
    <w:lsdException w:name="footnote reference" w:uiPriority="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B84"/>
    <w:pPr>
      <w:autoSpaceDE w:val="0"/>
      <w:autoSpaceDN w:val="0"/>
    </w:pPr>
    <w:rPr>
      <w:rFonts w:ascii="Times New Roman" w:hAnsi="Times New Roman"/>
    </w:rPr>
  </w:style>
  <w:style w:type="paragraph" w:styleId="1">
    <w:name w:val="heading 1"/>
    <w:basedOn w:val="a"/>
    <w:next w:val="a"/>
    <w:link w:val="10"/>
    <w:uiPriority w:val="99"/>
    <w:qFormat/>
    <w:rsid w:val="009E6168"/>
    <w:pPr>
      <w:keepNex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36B84"/>
    <w:pPr>
      <w:tabs>
        <w:tab w:val="center" w:pos="4153"/>
        <w:tab w:val="right" w:pos="8306"/>
      </w:tabs>
    </w:pPr>
  </w:style>
  <w:style w:type="character" w:customStyle="1" w:styleId="a4">
    <w:name w:val="Верхний колонтитул Знак"/>
    <w:basedOn w:val="a0"/>
    <w:link w:val="a3"/>
    <w:rsid w:val="00E36B84"/>
    <w:rPr>
      <w:rFonts w:ascii="Times New Roman" w:hAnsi="Times New Roman" w:cs="Times New Roman"/>
      <w:sz w:val="20"/>
      <w:szCs w:val="20"/>
    </w:rPr>
  </w:style>
  <w:style w:type="paragraph" w:styleId="a5">
    <w:name w:val="footer"/>
    <w:basedOn w:val="a"/>
    <w:link w:val="a6"/>
    <w:uiPriority w:val="99"/>
    <w:rsid w:val="00E36B84"/>
    <w:pPr>
      <w:tabs>
        <w:tab w:val="center" w:pos="4153"/>
        <w:tab w:val="right" w:pos="8306"/>
      </w:tabs>
    </w:pPr>
  </w:style>
  <w:style w:type="character" w:customStyle="1" w:styleId="a6">
    <w:name w:val="Нижний колонтитул Знак"/>
    <w:basedOn w:val="a0"/>
    <w:link w:val="a5"/>
    <w:uiPriority w:val="99"/>
    <w:semiHidden/>
    <w:rsid w:val="00E36B84"/>
    <w:rPr>
      <w:rFonts w:ascii="Times New Roman" w:hAnsi="Times New Roman" w:cs="Times New Roman"/>
      <w:sz w:val="20"/>
      <w:szCs w:val="20"/>
    </w:rPr>
  </w:style>
  <w:style w:type="character" w:customStyle="1" w:styleId="10">
    <w:name w:val="Заголовок 1 Знак"/>
    <w:basedOn w:val="a0"/>
    <w:link w:val="1"/>
    <w:uiPriority w:val="99"/>
    <w:rsid w:val="009E6168"/>
    <w:rPr>
      <w:rFonts w:ascii="Times New Roman" w:eastAsia="Times New Roman" w:hAnsi="Times New Roman" w:cs="Times New Roman"/>
      <w:b/>
      <w:bCs/>
      <w:sz w:val="20"/>
      <w:szCs w:val="20"/>
    </w:rPr>
  </w:style>
  <w:style w:type="character" w:styleId="a7">
    <w:name w:val="annotation reference"/>
    <w:basedOn w:val="a0"/>
    <w:uiPriority w:val="99"/>
    <w:semiHidden/>
    <w:unhideWhenUsed/>
    <w:rsid w:val="007262F9"/>
    <w:rPr>
      <w:sz w:val="16"/>
      <w:szCs w:val="16"/>
    </w:rPr>
  </w:style>
  <w:style w:type="paragraph" w:styleId="a8">
    <w:name w:val="annotation text"/>
    <w:basedOn w:val="a"/>
    <w:link w:val="a9"/>
    <w:uiPriority w:val="99"/>
    <w:semiHidden/>
    <w:unhideWhenUsed/>
    <w:rsid w:val="007262F9"/>
  </w:style>
  <w:style w:type="character" w:customStyle="1" w:styleId="a9">
    <w:name w:val="Текст примечания Знак"/>
    <w:basedOn w:val="a0"/>
    <w:link w:val="a8"/>
    <w:uiPriority w:val="99"/>
    <w:semiHidden/>
    <w:rsid w:val="007262F9"/>
    <w:rPr>
      <w:rFonts w:ascii="Times New Roman" w:hAnsi="Times New Roman" w:cs="Times New Roman"/>
      <w:sz w:val="20"/>
      <w:szCs w:val="20"/>
    </w:rPr>
  </w:style>
  <w:style w:type="paragraph" w:styleId="aa">
    <w:name w:val="annotation subject"/>
    <w:basedOn w:val="a8"/>
    <w:next w:val="a8"/>
    <w:link w:val="ab"/>
    <w:uiPriority w:val="99"/>
    <w:semiHidden/>
    <w:unhideWhenUsed/>
    <w:rsid w:val="007262F9"/>
    <w:rPr>
      <w:b/>
      <w:bCs/>
    </w:rPr>
  </w:style>
  <w:style w:type="character" w:customStyle="1" w:styleId="ab">
    <w:name w:val="Тема примечания Знак"/>
    <w:basedOn w:val="a9"/>
    <w:link w:val="aa"/>
    <w:uiPriority w:val="99"/>
    <w:semiHidden/>
    <w:rsid w:val="007262F9"/>
    <w:rPr>
      <w:b/>
      <w:bCs/>
    </w:rPr>
  </w:style>
  <w:style w:type="paragraph" w:styleId="ac">
    <w:name w:val="Balloon Text"/>
    <w:basedOn w:val="a"/>
    <w:link w:val="ad"/>
    <w:uiPriority w:val="99"/>
    <w:semiHidden/>
    <w:unhideWhenUsed/>
    <w:rsid w:val="007262F9"/>
    <w:rPr>
      <w:rFonts w:ascii="Tahoma" w:hAnsi="Tahoma" w:cs="Tahoma"/>
      <w:sz w:val="16"/>
      <w:szCs w:val="16"/>
    </w:rPr>
  </w:style>
  <w:style w:type="character" w:customStyle="1" w:styleId="ad">
    <w:name w:val="Текст выноски Знак"/>
    <w:basedOn w:val="a0"/>
    <w:link w:val="ac"/>
    <w:uiPriority w:val="99"/>
    <w:semiHidden/>
    <w:rsid w:val="007262F9"/>
    <w:rPr>
      <w:rFonts w:ascii="Tahoma" w:hAnsi="Tahoma" w:cs="Tahoma"/>
      <w:sz w:val="16"/>
      <w:szCs w:val="16"/>
    </w:rPr>
  </w:style>
  <w:style w:type="paragraph" w:customStyle="1" w:styleId="prilozhenie">
    <w:name w:val="prilozhenie"/>
    <w:basedOn w:val="a"/>
    <w:rsid w:val="000E1369"/>
    <w:pPr>
      <w:autoSpaceDE/>
      <w:autoSpaceDN/>
      <w:ind w:firstLine="709"/>
      <w:jc w:val="both"/>
    </w:pPr>
    <w:rPr>
      <w:sz w:val="24"/>
      <w:szCs w:val="24"/>
      <w:lang w:eastAsia="en-US"/>
    </w:rPr>
  </w:style>
  <w:style w:type="character" w:customStyle="1" w:styleId="SUBST">
    <w:name w:val="__SUBST"/>
    <w:rsid w:val="00DA1A5A"/>
    <w:rPr>
      <w:b/>
      <w:bCs/>
      <w:i/>
      <w:iCs/>
      <w:sz w:val="22"/>
      <w:szCs w:val="22"/>
    </w:rPr>
  </w:style>
  <w:style w:type="paragraph" w:styleId="ae">
    <w:name w:val="footnote text"/>
    <w:basedOn w:val="a"/>
    <w:link w:val="af"/>
    <w:rsid w:val="00DA1A5A"/>
    <w:pPr>
      <w:autoSpaceDE/>
      <w:autoSpaceDN/>
    </w:pPr>
    <w:rPr>
      <w:lang w:val="en-US" w:eastAsia="en-US"/>
    </w:rPr>
  </w:style>
  <w:style w:type="character" w:customStyle="1" w:styleId="af">
    <w:name w:val="Текст сноски Знак"/>
    <w:basedOn w:val="a0"/>
    <w:link w:val="ae"/>
    <w:rsid w:val="00DA1A5A"/>
    <w:rPr>
      <w:rFonts w:ascii="Times New Roman" w:hAnsi="Times New Roman"/>
      <w:lang w:val="en-US" w:eastAsia="en-US"/>
    </w:rPr>
  </w:style>
  <w:style w:type="character" w:styleId="af0">
    <w:name w:val="footnote reference"/>
    <w:rsid w:val="00DA1A5A"/>
    <w:rPr>
      <w:vertAlign w:val="superscript"/>
    </w:rPr>
  </w:style>
  <w:style w:type="paragraph" w:customStyle="1" w:styleId="21">
    <w:name w:val="Основной текст 21"/>
    <w:basedOn w:val="a"/>
    <w:rsid w:val="00DA1A5A"/>
    <w:pPr>
      <w:widowControl w:val="0"/>
      <w:autoSpaceDE/>
      <w:autoSpaceDN/>
      <w:spacing w:after="60"/>
      <w:jc w:val="both"/>
    </w:pPr>
    <w:rPr>
      <w:sz w:val="24"/>
    </w:rPr>
  </w:style>
  <w:style w:type="character" w:styleId="af1">
    <w:name w:val="Hyperlink"/>
    <w:basedOn w:val="a0"/>
    <w:uiPriority w:val="99"/>
    <w:rsid w:val="007F4F72"/>
    <w:rPr>
      <w:rFonts w:cs="Times New Roman"/>
      <w:color w:val="0000FF"/>
      <w:u w:val="single"/>
    </w:rPr>
  </w:style>
  <w:style w:type="paragraph" w:styleId="af2">
    <w:name w:val="List Paragraph"/>
    <w:basedOn w:val="a"/>
    <w:uiPriority w:val="34"/>
    <w:qFormat/>
    <w:rsid w:val="00B85F72"/>
    <w:pPr>
      <w:autoSpaceDE/>
      <w:autoSpaceDN/>
      <w:ind w:left="720"/>
      <w:contextualSpacing/>
    </w:pPr>
    <w:rPr>
      <w:sz w:val="24"/>
      <w:szCs w:val="24"/>
    </w:rPr>
  </w:style>
</w:styles>
</file>

<file path=word/webSettings.xml><?xml version="1.0" encoding="utf-8"?>
<w:webSettings xmlns:r="http://schemas.openxmlformats.org/officeDocument/2006/relationships" xmlns:w="http://schemas.openxmlformats.org/wordprocessingml/2006/main">
  <w:divs>
    <w:div w:id="1931741669">
      <w:bodyDiv w:val="1"/>
      <w:marLeft w:val="0"/>
      <w:marRight w:val="0"/>
      <w:marTop w:val="0"/>
      <w:marBottom w:val="0"/>
      <w:divBdr>
        <w:top w:val="none" w:sz="0" w:space="0" w:color="auto"/>
        <w:left w:val="none" w:sz="0" w:space="0" w:color="auto"/>
        <w:bottom w:val="none" w:sz="0" w:space="0" w:color="auto"/>
        <w:right w:val="none" w:sz="0" w:space="0" w:color="auto"/>
      </w:divBdr>
      <w:divsChild>
        <w:div w:id="753554668">
          <w:marLeft w:val="5"/>
          <w:marRight w:val="5"/>
          <w:marTop w:val="0"/>
          <w:marBottom w:val="0"/>
          <w:divBdr>
            <w:top w:val="none" w:sz="0" w:space="0" w:color="auto"/>
            <w:left w:val="none" w:sz="0" w:space="0" w:color="auto"/>
            <w:bottom w:val="none" w:sz="0" w:space="0" w:color="auto"/>
            <w:right w:val="none" w:sz="0" w:space="0" w:color="auto"/>
          </w:divBdr>
          <w:divsChild>
            <w:div w:id="1067725862">
              <w:marLeft w:val="0"/>
              <w:marRight w:val="0"/>
              <w:marTop w:val="600"/>
              <w:marBottom w:val="0"/>
              <w:divBdr>
                <w:top w:val="none" w:sz="0" w:space="0" w:color="auto"/>
                <w:left w:val="none" w:sz="0" w:space="0" w:color="auto"/>
                <w:bottom w:val="none" w:sz="0" w:space="0" w:color="auto"/>
                <w:right w:val="none" w:sz="0" w:space="0" w:color="auto"/>
              </w:divBdr>
              <w:divsChild>
                <w:div w:id="1289317358">
                  <w:marLeft w:val="0"/>
                  <w:marRight w:val="0"/>
                  <w:marTop w:val="285"/>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les@ope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2237</Words>
  <Characters>12751</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14959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cp:lastModifiedBy>Your User Name</cp:lastModifiedBy>
  <cp:revision>2</cp:revision>
  <cp:lastPrinted>2011-10-11T10:50:00Z</cp:lastPrinted>
  <dcterms:created xsi:type="dcterms:W3CDTF">2012-10-25T08:11:00Z</dcterms:created>
  <dcterms:modified xsi:type="dcterms:W3CDTF">2012-10-25T08:11:00Z</dcterms:modified>
</cp:coreProperties>
</file>